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844B9" w14:textId="5EA946C8" w:rsidR="005E3686" w:rsidRPr="003E24ED" w:rsidRDefault="005320E6" w:rsidP="00993C5A">
      <w:pPr>
        <w:pStyle w:val="TitlePgReportName"/>
      </w:pPr>
      <w:bookmarkStart w:id="0" w:name="_Toc374366954"/>
      <w:bookmarkStart w:id="1" w:name="_Toc374366884"/>
      <w:bookmarkStart w:id="2" w:name="_Toc365022882"/>
      <w:bookmarkStart w:id="3" w:name="_Toc365022684"/>
      <w:bookmarkStart w:id="4" w:name="_Toc362268767"/>
      <w:bookmarkStart w:id="5" w:name="_Toc362266897"/>
      <w:bookmarkStart w:id="6" w:name="_Toc362265370"/>
      <w:bookmarkStart w:id="7" w:name="_Toc355938746"/>
      <w:r>
        <w:t>Transmission Expansion Planning Models</w:t>
      </w:r>
      <w:r>
        <w:br/>
        <w:t>for Offshore Wind Energy</w:t>
      </w:r>
      <w:r w:rsidR="005E3686">
        <w:t xml:space="preserve"> </w:t>
      </w:r>
    </w:p>
    <w:p w14:paraId="2CF169F7" w14:textId="6701D798" w:rsidR="005E3686" w:rsidRPr="003E24ED" w:rsidRDefault="007A7B5C" w:rsidP="005E3686">
      <w:pPr>
        <w:pStyle w:val="TitlePgFinalDraft"/>
      </w:pPr>
      <w:r>
        <w:t>Final Report</w:t>
      </w:r>
      <w:r w:rsidR="005E3686">
        <w:t xml:space="preserve"> </w:t>
      </w:r>
      <w:r w:rsidR="00622BEC">
        <w:t>for NOWRDC Project #</w:t>
      </w:r>
      <w:r w:rsidR="005320E6">
        <w:t>110</w:t>
      </w:r>
      <w:r w:rsidR="005320E6">
        <w:br/>
      </w:r>
      <w:r w:rsidR="005320E6" w:rsidRPr="005320E6">
        <w:rPr>
          <w:i w:val="0"/>
          <w:iCs/>
        </w:rPr>
        <w:t>Deliverable 6.</w:t>
      </w:r>
      <w:r w:rsidR="00BE057F">
        <w:rPr>
          <w:i w:val="0"/>
          <w:iCs/>
        </w:rPr>
        <w:t>2</w:t>
      </w:r>
    </w:p>
    <w:p w14:paraId="447AECD7" w14:textId="77777777" w:rsidR="005E3686" w:rsidRDefault="005E3686" w:rsidP="005E3686">
      <w:pPr>
        <w:pStyle w:val="Footer"/>
      </w:pPr>
    </w:p>
    <w:p w14:paraId="3ADCD237" w14:textId="77777777" w:rsidR="005E3686" w:rsidRDefault="005E3686" w:rsidP="005E3686"/>
    <w:p w14:paraId="44796737" w14:textId="77777777" w:rsidR="005E3686" w:rsidRDefault="005E3686" w:rsidP="005E3686">
      <w:pPr>
        <w:pStyle w:val="TitlePgPreparedForBy"/>
      </w:pPr>
      <w:r>
        <w:t xml:space="preserve">Prepared for: </w:t>
      </w:r>
    </w:p>
    <w:p w14:paraId="00797DA7" w14:textId="77777777" w:rsidR="005E3686" w:rsidRDefault="00993C5A" w:rsidP="005E3686">
      <w:pPr>
        <w:pStyle w:val="TitlePgOrganizationName"/>
      </w:pPr>
      <w:r>
        <w:t>National Offshore Wind Research and Development Consortium</w:t>
      </w:r>
    </w:p>
    <w:p w14:paraId="6684C34D" w14:textId="17921F01" w:rsidR="005E3686" w:rsidRDefault="005320E6" w:rsidP="00633B88">
      <w:pPr>
        <w:pStyle w:val="TitlePgNamesTitles"/>
      </w:pPr>
      <w:r>
        <w:t>Mel Schultz</w:t>
      </w:r>
      <w:r w:rsidR="00844072">
        <w:t>,</w:t>
      </w:r>
      <w:r w:rsidR="00993C5A">
        <w:t xml:space="preserve"> Project Manager</w:t>
      </w:r>
      <w:r w:rsidR="005E3686" w:rsidRPr="00EE2291">
        <w:br/>
      </w:r>
    </w:p>
    <w:p w14:paraId="0E45472E" w14:textId="77777777" w:rsidR="005E3686" w:rsidRDefault="005E3686" w:rsidP="005E3686"/>
    <w:p w14:paraId="12C859E6" w14:textId="77777777" w:rsidR="005E3686" w:rsidRDefault="005E3686" w:rsidP="005E3686">
      <w:pPr>
        <w:pStyle w:val="TitlePgPreparedForBy"/>
      </w:pPr>
      <w:r>
        <w:t xml:space="preserve">Prepared by: </w:t>
      </w:r>
    </w:p>
    <w:p w14:paraId="2B2D8A26" w14:textId="459DA809" w:rsidR="005E3686" w:rsidRPr="00EE2291" w:rsidRDefault="007A7B5C" w:rsidP="0091796D">
      <w:pPr>
        <w:pStyle w:val="TitlePgOrganizationName"/>
        <w:spacing w:after="0" w:line="240" w:lineRule="auto"/>
      </w:pPr>
      <w:r>
        <w:t>Tufts University</w:t>
      </w:r>
      <w:r w:rsidR="005E3686">
        <w:t xml:space="preserve"> </w:t>
      </w:r>
    </w:p>
    <w:p w14:paraId="0D19931F" w14:textId="00D91067" w:rsidR="005E3686" w:rsidRDefault="007A7B5C" w:rsidP="0091796D">
      <w:pPr>
        <w:pStyle w:val="TitlePgLocation"/>
        <w:spacing w:after="0" w:line="240" w:lineRule="auto"/>
      </w:pPr>
      <w:r>
        <w:t>Medford, MA</w:t>
      </w:r>
    </w:p>
    <w:p w14:paraId="2256F7EB" w14:textId="77777777" w:rsidR="0091796D" w:rsidRPr="00EE2291" w:rsidRDefault="0091796D" w:rsidP="0091796D">
      <w:pPr>
        <w:pStyle w:val="TitlePgLocation"/>
        <w:spacing w:after="0" w:line="240" w:lineRule="auto"/>
      </w:pPr>
    </w:p>
    <w:p w14:paraId="41598690" w14:textId="77777777" w:rsidR="0091796D" w:rsidRDefault="007A7B5C" w:rsidP="0091796D">
      <w:pPr>
        <w:pStyle w:val="TitlePgNamesTitles"/>
        <w:spacing w:before="0" w:line="240" w:lineRule="auto"/>
      </w:pPr>
      <w:r>
        <w:t>Eric Hines</w:t>
      </w:r>
      <w:r w:rsidR="005E3686" w:rsidRPr="00EE2291">
        <w:br/>
      </w:r>
      <w:r>
        <w:t>Professor of the Practice</w:t>
      </w:r>
    </w:p>
    <w:p w14:paraId="292DD265" w14:textId="0E788A2D" w:rsidR="005E3686" w:rsidRPr="00EE2291" w:rsidRDefault="005E3686" w:rsidP="0091796D">
      <w:pPr>
        <w:pStyle w:val="TitlePgNamesTitles"/>
        <w:spacing w:before="0" w:line="240" w:lineRule="auto"/>
      </w:pPr>
      <w:r w:rsidRPr="00EE2291">
        <w:t xml:space="preserve"> </w:t>
      </w:r>
    </w:p>
    <w:p w14:paraId="086D75CA" w14:textId="59AB61AB" w:rsidR="0091796D" w:rsidRDefault="005320E6" w:rsidP="0091796D">
      <w:pPr>
        <w:pStyle w:val="TitlePgNamesTitles"/>
        <w:spacing w:before="0" w:line="240" w:lineRule="auto"/>
      </w:pPr>
      <w:r>
        <w:t>Barbara Kates-Garnick</w:t>
      </w:r>
      <w:r w:rsidR="005E3686" w:rsidRPr="00EE2291">
        <w:br/>
      </w:r>
      <w:r w:rsidR="007A7B5C">
        <w:t>Professor</w:t>
      </w:r>
      <w:r>
        <w:t xml:space="preserve"> of the Practice</w:t>
      </w:r>
    </w:p>
    <w:p w14:paraId="0E63E7BE" w14:textId="77777777" w:rsidR="0091796D" w:rsidRDefault="0091796D" w:rsidP="0091796D">
      <w:pPr>
        <w:pStyle w:val="TitlePgOrganizationName"/>
        <w:spacing w:after="0" w:line="240" w:lineRule="auto"/>
        <w:jc w:val="left"/>
      </w:pPr>
    </w:p>
    <w:p w14:paraId="6CA9F585" w14:textId="68254851" w:rsidR="007A7B5C" w:rsidRPr="00EE2291" w:rsidRDefault="005320E6" w:rsidP="0091796D">
      <w:pPr>
        <w:pStyle w:val="TitlePgOrganizationName"/>
        <w:spacing w:after="0" w:line="240" w:lineRule="auto"/>
      </w:pPr>
      <w:r>
        <w:t>Iowa State University</w:t>
      </w:r>
      <w:r w:rsidR="007A7B5C">
        <w:t xml:space="preserve"> </w:t>
      </w:r>
    </w:p>
    <w:p w14:paraId="4F3CCDE0" w14:textId="78EC90E2" w:rsidR="007A7B5C" w:rsidRDefault="005320E6" w:rsidP="0091796D">
      <w:pPr>
        <w:pStyle w:val="TitlePgLocation"/>
        <w:spacing w:after="0" w:line="240" w:lineRule="auto"/>
      </w:pPr>
      <w:r>
        <w:t>Ames</w:t>
      </w:r>
      <w:r w:rsidR="007A7B5C">
        <w:t xml:space="preserve">, </w:t>
      </w:r>
      <w:r>
        <w:t>IA</w:t>
      </w:r>
    </w:p>
    <w:p w14:paraId="0BB515DB" w14:textId="77777777" w:rsidR="0091796D" w:rsidRPr="00EE2291" w:rsidRDefault="0091796D" w:rsidP="0091796D">
      <w:pPr>
        <w:pStyle w:val="TitlePgLocation"/>
        <w:spacing w:after="0" w:line="240" w:lineRule="auto"/>
      </w:pPr>
    </w:p>
    <w:p w14:paraId="6AB2ED34" w14:textId="30FF3C0F" w:rsidR="007A7B5C" w:rsidRDefault="005320E6" w:rsidP="0091796D">
      <w:pPr>
        <w:pStyle w:val="TitlePgNamesTitles"/>
        <w:spacing w:before="0" w:line="240" w:lineRule="auto"/>
      </w:pPr>
      <w:r>
        <w:t>James McCalley</w:t>
      </w:r>
    </w:p>
    <w:p w14:paraId="1DA5EB4E" w14:textId="7A877C69" w:rsidR="007A7B5C" w:rsidRDefault="007A7B5C" w:rsidP="0091796D">
      <w:pPr>
        <w:pStyle w:val="TitlePgNamesTitles"/>
        <w:spacing w:before="0" w:line="240" w:lineRule="auto"/>
      </w:pPr>
      <w:r>
        <w:t>Professor</w:t>
      </w:r>
    </w:p>
    <w:p w14:paraId="1A5C9417" w14:textId="77777777" w:rsidR="007A7B5C" w:rsidRDefault="007A7B5C" w:rsidP="0091796D">
      <w:pPr>
        <w:pStyle w:val="TitlePgNamesTitles"/>
        <w:spacing w:before="0" w:line="240" w:lineRule="auto"/>
      </w:pPr>
    </w:p>
    <w:p w14:paraId="1C5D4542" w14:textId="10218425" w:rsidR="007A7B5C" w:rsidRPr="00EE2291" w:rsidRDefault="005320E6" w:rsidP="0091796D">
      <w:pPr>
        <w:pStyle w:val="TitlePgOrganizationName"/>
        <w:spacing w:after="0" w:line="240" w:lineRule="auto"/>
      </w:pPr>
      <w:r>
        <w:t>Clemson University</w:t>
      </w:r>
      <w:r w:rsidR="007A7B5C">
        <w:t xml:space="preserve"> </w:t>
      </w:r>
    </w:p>
    <w:p w14:paraId="4136AE5F" w14:textId="13A42C2B" w:rsidR="007A7B5C" w:rsidRDefault="005320E6" w:rsidP="0091796D">
      <w:pPr>
        <w:pStyle w:val="TitlePgLocation"/>
        <w:spacing w:after="0" w:line="240" w:lineRule="auto"/>
      </w:pPr>
      <w:r>
        <w:t>Charleston</w:t>
      </w:r>
      <w:r w:rsidR="007A7B5C">
        <w:t xml:space="preserve">, </w:t>
      </w:r>
      <w:r>
        <w:t>SC</w:t>
      </w:r>
    </w:p>
    <w:p w14:paraId="477D0A88" w14:textId="77777777" w:rsidR="0091796D" w:rsidRPr="00EE2291" w:rsidRDefault="0091796D" w:rsidP="0091796D">
      <w:pPr>
        <w:pStyle w:val="TitlePgLocation"/>
        <w:spacing w:after="0" w:line="240" w:lineRule="auto"/>
      </w:pPr>
    </w:p>
    <w:p w14:paraId="433D0815" w14:textId="161013D2" w:rsidR="007A7B5C" w:rsidRDefault="005320E6" w:rsidP="0091796D">
      <w:pPr>
        <w:pStyle w:val="TitlePgNamesTitles"/>
        <w:spacing w:before="0" w:line="240" w:lineRule="auto"/>
      </w:pPr>
      <w:r>
        <w:t>Johan Enslin</w:t>
      </w:r>
      <w:r>
        <w:br/>
        <w:t>Professor</w:t>
      </w:r>
    </w:p>
    <w:p w14:paraId="7FDBC129" w14:textId="01D50BBA" w:rsidR="00633B88" w:rsidRDefault="00633B88" w:rsidP="00633B88">
      <w:pPr>
        <w:pStyle w:val="TitlePgNamesTitles"/>
        <w:spacing w:before="0" w:line="240" w:lineRule="auto"/>
        <w:rPr>
          <w:b/>
          <w:sz w:val="22"/>
          <w:szCs w:val="22"/>
        </w:rPr>
      </w:pPr>
    </w:p>
    <w:p w14:paraId="6B5C1B0B" w14:textId="77777777" w:rsidR="005320E6" w:rsidRDefault="005320E6" w:rsidP="00633B88">
      <w:pPr>
        <w:pStyle w:val="TitlePgNamesTitles"/>
        <w:spacing w:before="0" w:line="240" w:lineRule="auto"/>
        <w:rPr>
          <w:b/>
          <w:sz w:val="22"/>
          <w:szCs w:val="22"/>
        </w:rPr>
      </w:pPr>
    </w:p>
    <w:p w14:paraId="08B8E067" w14:textId="77777777" w:rsidR="005320E6" w:rsidRDefault="005320E6" w:rsidP="00633B88">
      <w:pPr>
        <w:pStyle w:val="TitlePgNamesTitles"/>
        <w:spacing w:before="0" w:line="240" w:lineRule="auto"/>
        <w:rPr>
          <w:b/>
          <w:sz w:val="22"/>
          <w:szCs w:val="22"/>
        </w:rPr>
      </w:pPr>
    </w:p>
    <w:p w14:paraId="19E12703" w14:textId="77777777" w:rsidR="005320E6" w:rsidRDefault="005320E6" w:rsidP="00633B88">
      <w:pPr>
        <w:pStyle w:val="TitlePgNamesTitles"/>
        <w:spacing w:before="0" w:line="240" w:lineRule="auto"/>
        <w:rPr>
          <w:b/>
          <w:sz w:val="22"/>
          <w:szCs w:val="22"/>
        </w:rPr>
      </w:pPr>
    </w:p>
    <w:p w14:paraId="062BA458" w14:textId="77777777" w:rsidR="005320E6" w:rsidRDefault="005320E6" w:rsidP="00633B88">
      <w:pPr>
        <w:pStyle w:val="TitlePgNamesTitles"/>
        <w:spacing w:before="0" w:line="240" w:lineRule="auto"/>
        <w:rPr>
          <w:b/>
          <w:sz w:val="22"/>
          <w:szCs w:val="22"/>
        </w:rPr>
      </w:pPr>
    </w:p>
    <w:p w14:paraId="38415A12" w14:textId="77777777" w:rsidR="005320E6" w:rsidRDefault="005320E6" w:rsidP="00633B88">
      <w:pPr>
        <w:pStyle w:val="TitlePgNamesTitles"/>
        <w:spacing w:before="0" w:line="240" w:lineRule="auto"/>
        <w:rPr>
          <w:b/>
          <w:sz w:val="22"/>
          <w:szCs w:val="22"/>
        </w:rPr>
      </w:pPr>
    </w:p>
    <w:p w14:paraId="4B6E0D66" w14:textId="77777777" w:rsidR="005320E6" w:rsidRDefault="005320E6" w:rsidP="00633B88">
      <w:pPr>
        <w:pStyle w:val="TitlePgNamesTitles"/>
        <w:spacing w:before="0" w:line="240" w:lineRule="auto"/>
        <w:rPr>
          <w:b/>
          <w:sz w:val="22"/>
          <w:szCs w:val="22"/>
        </w:rPr>
      </w:pPr>
    </w:p>
    <w:p w14:paraId="4D1E75BE" w14:textId="77777777" w:rsidR="005320E6" w:rsidRDefault="005320E6" w:rsidP="00633B88">
      <w:pPr>
        <w:pStyle w:val="TitlePgNamesTitles"/>
        <w:spacing w:before="0" w:line="240" w:lineRule="auto"/>
      </w:pPr>
    </w:p>
    <w:p w14:paraId="6AA6F283" w14:textId="77777777" w:rsidR="00633B88" w:rsidRDefault="00633B88" w:rsidP="00633B88">
      <w:pPr>
        <w:pStyle w:val="TitlePgNamesTitles"/>
        <w:spacing w:before="0" w:line="240" w:lineRule="auto"/>
      </w:pPr>
    </w:p>
    <w:p w14:paraId="10190E28" w14:textId="77777777" w:rsidR="00633B88" w:rsidRDefault="00633B88" w:rsidP="00633B88">
      <w:pPr>
        <w:pStyle w:val="TitlePgNamesTitles"/>
        <w:spacing w:before="0" w:line="240" w:lineRule="auto"/>
      </w:pPr>
    </w:p>
    <w:p w14:paraId="42724F07" w14:textId="45A61337" w:rsidR="005E3686" w:rsidRDefault="005E3686" w:rsidP="00633B88">
      <w:pPr>
        <w:pStyle w:val="TitlePgNamesTitles"/>
        <w:spacing w:before="0" w:line="240" w:lineRule="auto"/>
      </w:pPr>
      <w:r>
        <w:t xml:space="preserve">Report </w:t>
      </w:r>
      <w:r w:rsidR="00633B88">
        <w:t>D</w:t>
      </w:r>
      <w:r w:rsidR="005320E6">
        <w:t>6</w:t>
      </w:r>
      <w:r w:rsidR="00633B88">
        <w:t>.</w:t>
      </w:r>
      <w:r w:rsidR="002D34C6">
        <w:t>2</w:t>
      </w:r>
      <w:r w:rsidR="00633B88">
        <w:tab/>
      </w:r>
      <w:r w:rsidR="00633B88">
        <w:tab/>
      </w:r>
      <w:r w:rsidR="00633B88">
        <w:tab/>
      </w:r>
      <w:r>
        <w:tab/>
      </w:r>
      <w:r w:rsidR="00993C5A">
        <w:t>Agreement #</w:t>
      </w:r>
      <w:r>
        <w:t xml:space="preserve"> </w:t>
      </w:r>
      <w:r w:rsidR="005320E6">
        <w:t>110</w:t>
      </w:r>
      <w:r>
        <w:tab/>
      </w:r>
      <w:r w:rsidR="00633B88">
        <w:tab/>
      </w:r>
      <w:r w:rsidR="00633B88">
        <w:tab/>
      </w:r>
      <w:r w:rsidR="00633B88">
        <w:tab/>
      </w:r>
      <w:r w:rsidR="002D34C6">
        <w:t>February</w:t>
      </w:r>
      <w:r w:rsidRPr="003E24ED">
        <w:t xml:space="preserve"> </w:t>
      </w:r>
      <w:r w:rsidR="00633B88">
        <w:t>202</w:t>
      </w:r>
      <w:r w:rsidR="005320E6">
        <w:t>4</w:t>
      </w:r>
    </w:p>
    <w:p w14:paraId="364E9184" w14:textId="7CE6C37C" w:rsidR="005E3686" w:rsidRPr="007B6FEB" w:rsidRDefault="005E3686" w:rsidP="005E3686">
      <w:pPr>
        <w:pStyle w:val="Heading1NoNumber"/>
      </w:pPr>
      <w:bookmarkStart w:id="8" w:name="_Toc374366955"/>
      <w:bookmarkStart w:id="9" w:name="_Toc374366885"/>
      <w:bookmarkStart w:id="10" w:name="_Toc365022883"/>
      <w:bookmarkStart w:id="11" w:name="_Toc365022685"/>
      <w:bookmarkStart w:id="12" w:name="_Toc362268768"/>
      <w:bookmarkStart w:id="13" w:name="_Toc362266898"/>
      <w:bookmarkStart w:id="14" w:name="_Toc362265371"/>
      <w:bookmarkStart w:id="15" w:name="_Toc355938747"/>
      <w:bookmarkStart w:id="16" w:name="_Toc158376346"/>
      <w:bookmarkEnd w:id="0"/>
      <w:bookmarkEnd w:id="1"/>
      <w:bookmarkEnd w:id="2"/>
      <w:bookmarkEnd w:id="3"/>
      <w:bookmarkEnd w:id="4"/>
      <w:bookmarkEnd w:id="5"/>
      <w:bookmarkEnd w:id="6"/>
      <w:bookmarkEnd w:id="7"/>
      <w:r>
        <w:lastRenderedPageBreak/>
        <w:t>Abstract</w:t>
      </w:r>
      <w:bookmarkEnd w:id="8"/>
      <w:bookmarkEnd w:id="9"/>
      <w:bookmarkEnd w:id="10"/>
      <w:bookmarkEnd w:id="11"/>
      <w:bookmarkEnd w:id="12"/>
      <w:bookmarkEnd w:id="13"/>
      <w:bookmarkEnd w:id="14"/>
      <w:bookmarkEnd w:id="15"/>
      <w:bookmarkEnd w:id="16"/>
    </w:p>
    <w:p w14:paraId="2004E64D" w14:textId="3353E689" w:rsidR="005E3686" w:rsidRDefault="00F33056" w:rsidP="005E3686">
      <w:pPr>
        <w:pStyle w:val="BodyText"/>
      </w:pPr>
      <w:r>
        <w:t>This final report provides a summary of the NOWRDC Project #</w:t>
      </w:r>
      <w:r w:rsidR="005320E6">
        <w:t>110</w:t>
      </w:r>
      <w:r>
        <w:t xml:space="preserve">: </w:t>
      </w:r>
      <w:r w:rsidR="005320E6">
        <w:rPr>
          <w:i/>
          <w:iCs/>
        </w:rPr>
        <w:t>Transmission Expansion Planning Models for Offshore Wind Energy</w:t>
      </w:r>
      <w:r>
        <w:t xml:space="preserve">, that includes </w:t>
      </w:r>
      <w:r w:rsidR="00580B3E">
        <w:t xml:space="preserve">a high-level project summary, </w:t>
      </w:r>
      <w:r>
        <w:t>descriptions of project personnel,</w:t>
      </w:r>
      <w:r w:rsidR="00580B3E">
        <w:t xml:space="preserve"> tasks,</w:t>
      </w:r>
      <w:r>
        <w:t xml:space="preserve"> schedule, deliverables</w:t>
      </w:r>
      <w:r w:rsidR="00F37B48">
        <w:t>,</w:t>
      </w:r>
      <w:r>
        <w:t xml:space="preserve"> and publications.</w:t>
      </w:r>
    </w:p>
    <w:p w14:paraId="7703E538" w14:textId="02ABCF1A" w:rsidR="005E3686" w:rsidRPr="007B6FEB" w:rsidRDefault="005E3686" w:rsidP="005E3686">
      <w:pPr>
        <w:pStyle w:val="Heading1NoNumber"/>
      </w:pPr>
      <w:bookmarkStart w:id="17" w:name="_Toc374366956"/>
      <w:bookmarkStart w:id="18" w:name="_Toc374366886"/>
      <w:bookmarkStart w:id="19" w:name="_Toc365022884"/>
      <w:bookmarkStart w:id="20" w:name="_Toc365022686"/>
      <w:bookmarkStart w:id="21" w:name="_Toc362268769"/>
      <w:bookmarkStart w:id="22" w:name="_Toc362266899"/>
      <w:bookmarkStart w:id="23" w:name="_Toc362265372"/>
      <w:bookmarkStart w:id="24" w:name="_Toc355938748"/>
      <w:bookmarkStart w:id="25" w:name="_Toc158376347"/>
      <w:r>
        <w:t>Keywords</w:t>
      </w:r>
      <w:bookmarkEnd w:id="17"/>
      <w:bookmarkEnd w:id="18"/>
      <w:bookmarkEnd w:id="19"/>
      <w:bookmarkEnd w:id="20"/>
      <w:bookmarkEnd w:id="21"/>
      <w:bookmarkEnd w:id="22"/>
      <w:bookmarkEnd w:id="23"/>
      <w:bookmarkEnd w:id="24"/>
      <w:bookmarkEnd w:id="25"/>
    </w:p>
    <w:p w14:paraId="6B7D9FF5" w14:textId="1EAA247A" w:rsidR="005E3686" w:rsidRPr="007B6FEB" w:rsidRDefault="005320E6" w:rsidP="005E3686">
      <w:pPr>
        <w:pStyle w:val="BodyText"/>
      </w:pPr>
      <w:r>
        <w:t>AC transmission, converters, high voltage direct current transmission, landfalls, Macrogrid, models, network reduction, offshore grid, offshore wind, optimization, points of interconnection, power flow, renewable energy, substations.</w:t>
      </w:r>
    </w:p>
    <w:p w14:paraId="4D6E7BB4" w14:textId="77777777" w:rsidR="005E3686" w:rsidRDefault="005E3686" w:rsidP="005E3686">
      <w:pPr>
        <w:pStyle w:val="BodyText"/>
      </w:pPr>
      <w:bookmarkStart w:id="26" w:name="_Toc355938749"/>
    </w:p>
    <w:bookmarkEnd w:id="26"/>
    <w:p w14:paraId="228C926B" w14:textId="77777777" w:rsidR="005E3686" w:rsidRDefault="005E3686" w:rsidP="005E3686">
      <w:pPr>
        <w:pStyle w:val="BodyText"/>
      </w:pPr>
    </w:p>
    <w:p w14:paraId="05D9C72D" w14:textId="77777777" w:rsidR="005E3686" w:rsidRDefault="005E3686" w:rsidP="005E3686">
      <w:pPr>
        <w:pStyle w:val="BodyText"/>
      </w:pPr>
    </w:p>
    <w:p w14:paraId="0EBAB496" w14:textId="77777777" w:rsidR="005E3686" w:rsidRDefault="005E3686" w:rsidP="005E3686">
      <w:pPr>
        <w:pStyle w:val="BodyText"/>
      </w:pPr>
    </w:p>
    <w:p w14:paraId="2BAE8A8D" w14:textId="77777777" w:rsidR="005E3686" w:rsidRDefault="005E3686" w:rsidP="005E3686">
      <w:pPr>
        <w:pStyle w:val="BodyText"/>
      </w:pPr>
    </w:p>
    <w:p w14:paraId="62061591" w14:textId="77777777" w:rsidR="005E3686" w:rsidRDefault="005E3686" w:rsidP="005E3686">
      <w:pPr>
        <w:pStyle w:val="BodyText"/>
      </w:pPr>
    </w:p>
    <w:p w14:paraId="1E764D6B" w14:textId="77777777" w:rsidR="005E3686" w:rsidRDefault="005E3686" w:rsidP="005E3686"/>
    <w:p w14:paraId="3B84D15F" w14:textId="4907D5F8" w:rsidR="005E3686" w:rsidRPr="0075552F" w:rsidRDefault="005E3686" w:rsidP="005E3686">
      <w:pPr>
        <w:pStyle w:val="TOCHeading"/>
      </w:pPr>
      <w:bookmarkStart w:id="27" w:name="_Toc374366958"/>
      <w:bookmarkStart w:id="28" w:name="_Toc374366888"/>
      <w:r>
        <w:br w:type="page"/>
      </w:r>
      <w:r w:rsidRPr="002D39EB">
        <w:lastRenderedPageBreak/>
        <w:t>Table of Contents</w:t>
      </w:r>
      <w:bookmarkEnd w:id="27"/>
      <w:bookmarkEnd w:id="28"/>
    </w:p>
    <w:p w14:paraId="5257C57D" w14:textId="72B4565B" w:rsidR="00F37ECF" w:rsidRDefault="005E3686">
      <w:pPr>
        <w:pStyle w:val="TOC1"/>
        <w:tabs>
          <w:tab w:val="right" w:leader="dot" w:pos="9350"/>
        </w:tabs>
        <w:rPr>
          <w:rFonts w:asciiTheme="minorHAnsi" w:eastAsiaTheme="minorEastAsia" w:hAnsiTheme="minorHAnsi"/>
          <w:b w:val="0"/>
          <w:noProof/>
          <w:color w:val="auto"/>
          <w:kern w:val="2"/>
          <w14:ligatures w14:val="standardContextual"/>
        </w:rPr>
      </w:pPr>
      <w:r w:rsidRPr="001F211C">
        <w:rPr>
          <w:rFonts w:cs="Arial"/>
        </w:rPr>
        <w:fldChar w:fldCharType="begin"/>
      </w:r>
      <w:r w:rsidRPr="001F211C">
        <w:rPr>
          <w:rFonts w:cs="Arial"/>
        </w:rPr>
        <w:instrText xml:space="preserve"> TOC \o "3-3" \h \z \t "Heading 1,1,Heading 2,2,Heading 4,4,Heading 1 No Number,1" </w:instrText>
      </w:r>
      <w:r w:rsidRPr="001F211C">
        <w:rPr>
          <w:rFonts w:cs="Arial"/>
        </w:rPr>
        <w:fldChar w:fldCharType="separate"/>
      </w:r>
      <w:hyperlink w:anchor="_Toc158376346" w:history="1">
        <w:r w:rsidR="00F37ECF" w:rsidRPr="00250F63">
          <w:rPr>
            <w:rStyle w:val="Hyperlink"/>
            <w:noProof/>
          </w:rPr>
          <w:t>Abstract</w:t>
        </w:r>
        <w:r w:rsidR="00F37ECF">
          <w:rPr>
            <w:noProof/>
            <w:webHidden/>
          </w:rPr>
          <w:tab/>
        </w:r>
        <w:r w:rsidR="00F37ECF">
          <w:rPr>
            <w:noProof/>
            <w:webHidden/>
          </w:rPr>
          <w:fldChar w:fldCharType="begin"/>
        </w:r>
        <w:r w:rsidR="00F37ECF">
          <w:rPr>
            <w:noProof/>
            <w:webHidden/>
          </w:rPr>
          <w:instrText xml:space="preserve"> PAGEREF _Toc158376346 \h </w:instrText>
        </w:r>
        <w:r w:rsidR="00F37ECF">
          <w:rPr>
            <w:noProof/>
            <w:webHidden/>
          </w:rPr>
        </w:r>
        <w:r w:rsidR="00F37ECF">
          <w:rPr>
            <w:noProof/>
            <w:webHidden/>
          </w:rPr>
          <w:fldChar w:fldCharType="separate"/>
        </w:r>
        <w:r w:rsidR="00F37ECF">
          <w:rPr>
            <w:noProof/>
            <w:webHidden/>
          </w:rPr>
          <w:t>ii</w:t>
        </w:r>
        <w:r w:rsidR="00F37ECF">
          <w:rPr>
            <w:noProof/>
            <w:webHidden/>
          </w:rPr>
          <w:fldChar w:fldCharType="end"/>
        </w:r>
      </w:hyperlink>
    </w:p>
    <w:p w14:paraId="0C403889" w14:textId="51EBD65E" w:rsidR="00F37ECF" w:rsidRDefault="00000000">
      <w:pPr>
        <w:pStyle w:val="TOC1"/>
        <w:tabs>
          <w:tab w:val="right" w:leader="dot" w:pos="9350"/>
        </w:tabs>
        <w:rPr>
          <w:rFonts w:asciiTheme="minorHAnsi" w:eastAsiaTheme="minorEastAsia" w:hAnsiTheme="minorHAnsi"/>
          <w:b w:val="0"/>
          <w:noProof/>
          <w:color w:val="auto"/>
          <w:kern w:val="2"/>
          <w14:ligatures w14:val="standardContextual"/>
        </w:rPr>
      </w:pPr>
      <w:hyperlink w:anchor="_Toc158376347" w:history="1">
        <w:r w:rsidR="00F37ECF" w:rsidRPr="00250F63">
          <w:rPr>
            <w:rStyle w:val="Hyperlink"/>
            <w:noProof/>
          </w:rPr>
          <w:t>Keywords</w:t>
        </w:r>
        <w:r w:rsidR="00F37ECF">
          <w:rPr>
            <w:noProof/>
            <w:webHidden/>
          </w:rPr>
          <w:tab/>
        </w:r>
        <w:r w:rsidR="00F37ECF">
          <w:rPr>
            <w:noProof/>
            <w:webHidden/>
          </w:rPr>
          <w:fldChar w:fldCharType="begin"/>
        </w:r>
        <w:r w:rsidR="00F37ECF">
          <w:rPr>
            <w:noProof/>
            <w:webHidden/>
          </w:rPr>
          <w:instrText xml:space="preserve"> PAGEREF _Toc158376347 \h </w:instrText>
        </w:r>
        <w:r w:rsidR="00F37ECF">
          <w:rPr>
            <w:noProof/>
            <w:webHidden/>
          </w:rPr>
        </w:r>
        <w:r w:rsidR="00F37ECF">
          <w:rPr>
            <w:noProof/>
            <w:webHidden/>
          </w:rPr>
          <w:fldChar w:fldCharType="separate"/>
        </w:r>
        <w:r w:rsidR="00F37ECF">
          <w:rPr>
            <w:noProof/>
            <w:webHidden/>
          </w:rPr>
          <w:t>ii</w:t>
        </w:r>
        <w:r w:rsidR="00F37ECF">
          <w:rPr>
            <w:noProof/>
            <w:webHidden/>
          </w:rPr>
          <w:fldChar w:fldCharType="end"/>
        </w:r>
      </w:hyperlink>
    </w:p>
    <w:p w14:paraId="16C5975F" w14:textId="04EE9DA9" w:rsidR="00F37ECF" w:rsidRDefault="00000000">
      <w:pPr>
        <w:pStyle w:val="TOC1"/>
        <w:tabs>
          <w:tab w:val="right" w:leader="dot" w:pos="9350"/>
        </w:tabs>
        <w:rPr>
          <w:rFonts w:asciiTheme="minorHAnsi" w:eastAsiaTheme="minorEastAsia" w:hAnsiTheme="minorHAnsi"/>
          <w:b w:val="0"/>
          <w:noProof/>
          <w:color w:val="auto"/>
          <w:kern w:val="2"/>
          <w14:ligatures w14:val="standardContextual"/>
        </w:rPr>
      </w:pPr>
      <w:hyperlink w:anchor="_Toc158376348" w:history="1">
        <w:r w:rsidR="00F37ECF" w:rsidRPr="00250F63">
          <w:rPr>
            <w:rStyle w:val="Hyperlink"/>
            <w:noProof/>
          </w:rPr>
          <w:t>List of Figures</w:t>
        </w:r>
        <w:r w:rsidR="00F37ECF">
          <w:rPr>
            <w:noProof/>
            <w:webHidden/>
          </w:rPr>
          <w:tab/>
        </w:r>
        <w:r w:rsidR="00F37ECF">
          <w:rPr>
            <w:noProof/>
            <w:webHidden/>
          </w:rPr>
          <w:fldChar w:fldCharType="begin"/>
        </w:r>
        <w:r w:rsidR="00F37ECF">
          <w:rPr>
            <w:noProof/>
            <w:webHidden/>
          </w:rPr>
          <w:instrText xml:space="preserve"> PAGEREF _Toc158376348 \h </w:instrText>
        </w:r>
        <w:r w:rsidR="00F37ECF">
          <w:rPr>
            <w:noProof/>
            <w:webHidden/>
          </w:rPr>
        </w:r>
        <w:r w:rsidR="00F37ECF">
          <w:rPr>
            <w:noProof/>
            <w:webHidden/>
          </w:rPr>
          <w:fldChar w:fldCharType="separate"/>
        </w:r>
        <w:r w:rsidR="00F37ECF">
          <w:rPr>
            <w:noProof/>
            <w:webHidden/>
          </w:rPr>
          <w:t>v</w:t>
        </w:r>
        <w:r w:rsidR="00F37ECF">
          <w:rPr>
            <w:noProof/>
            <w:webHidden/>
          </w:rPr>
          <w:fldChar w:fldCharType="end"/>
        </w:r>
      </w:hyperlink>
    </w:p>
    <w:p w14:paraId="354CC272" w14:textId="276D8D8B" w:rsidR="00F37ECF" w:rsidRDefault="00000000">
      <w:pPr>
        <w:pStyle w:val="TOC1"/>
        <w:tabs>
          <w:tab w:val="right" w:leader="dot" w:pos="9350"/>
        </w:tabs>
        <w:rPr>
          <w:rFonts w:asciiTheme="minorHAnsi" w:eastAsiaTheme="minorEastAsia" w:hAnsiTheme="minorHAnsi"/>
          <w:b w:val="0"/>
          <w:noProof/>
          <w:color w:val="auto"/>
          <w:kern w:val="2"/>
          <w14:ligatures w14:val="standardContextual"/>
        </w:rPr>
      </w:pPr>
      <w:hyperlink w:anchor="_Toc158376349" w:history="1">
        <w:r w:rsidR="00F37ECF" w:rsidRPr="00250F63">
          <w:rPr>
            <w:rStyle w:val="Hyperlink"/>
            <w:noProof/>
          </w:rPr>
          <w:t>List of Tables</w:t>
        </w:r>
        <w:r w:rsidR="00F37ECF">
          <w:rPr>
            <w:noProof/>
            <w:webHidden/>
          </w:rPr>
          <w:tab/>
        </w:r>
        <w:r w:rsidR="00F37ECF">
          <w:rPr>
            <w:noProof/>
            <w:webHidden/>
          </w:rPr>
          <w:fldChar w:fldCharType="begin"/>
        </w:r>
        <w:r w:rsidR="00F37ECF">
          <w:rPr>
            <w:noProof/>
            <w:webHidden/>
          </w:rPr>
          <w:instrText xml:space="preserve"> PAGEREF _Toc158376349 \h </w:instrText>
        </w:r>
        <w:r w:rsidR="00F37ECF">
          <w:rPr>
            <w:noProof/>
            <w:webHidden/>
          </w:rPr>
        </w:r>
        <w:r w:rsidR="00F37ECF">
          <w:rPr>
            <w:noProof/>
            <w:webHidden/>
          </w:rPr>
          <w:fldChar w:fldCharType="separate"/>
        </w:r>
        <w:r w:rsidR="00F37ECF">
          <w:rPr>
            <w:noProof/>
            <w:webHidden/>
          </w:rPr>
          <w:t>v</w:t>
        </w:r>
        <w:r w:rsidR="00F37ECF">
          <w:rPr>
            <w:noProof/>
            <w:webHidden/>
          </w:rPr>
          <w:fldChar w:fldCharType="end"/>
        </w:r>
      </w:hyperlink>
    </w:p>
    <w:p w14:paraId="5CCC6C53" w14:textId="36AC163A" w:rsidR="00F37ECF" w:rsidRDefault="00000000">
      <w:pPr>
        <w:pStyle w:val="TOC1"/>
        <w:tabs>
          <w:tab w:val="right" w:leader="dot" w:pos="9350"/>
        </w:tabs>
        <w:rPr>
          <w:rFonts w:asciiTheme="minorHAnsi" w:eastAsiaTheme="minorEastAsia" w:hAnsiTheme="minorHAnsi"/>
          <w:b w:val="0"/>
          <w:noProof/>
          <w:color w:val="auto"/>
          <w:kern w:val="2"/>
          <w14:ligatures w14:val="standardContextual"/>
        </w:rPr>
      </w:pPr>
      <w:hyperlink w:anchor="_Toc158376350" w:history="1">
        <w:r w:rsidR="00F37ECF" w:rsidRPr="00250F63">
          <w:rPr>
            <w:rStyle w:val="Hyperlink"/>
            <w:noProof/>
          </w:rPr>
          <w:t>Acronyms and Abbreviations</w:t>
        </w:r>
        <w:r w:rsidR="00F37ECF">
          <w:rPr>
            <w:noProof/>
            <w:webHidden/>
          </w:rPr>
          <w:tab/>
        </w:r>
        <w:r w:rsidR="00F37ECF">
          <w:rPr>
            <w:noProof/>
            <w:webHidden/>
          </w:rPr>
          <w:fldChar w:fldCharType="begin"/>
        </w:r>
        <w:r w:rsidR="00F37ECF">
          <w:rPr>
            <w:noProof/>
            <w:webHidden/>
          </w:rPr>
          <w:instrText xml:space="preserve"> PAGEREF _Toc158376350 \h </w:instrText>
        </w:r>
        <w:r w:rsidR="00F37ECF">
          <w:rPr>
            <w:noProof/>
            <w:webHidden/>
          </w:rPr>
        </w:r>
        <w:r w:rsidR="00F37ECF">
          <w:rPr>
            <w:noProof/>
            <w:webHidden/>
          </w:rPr>
          <w:fldChar w:fldCharType="separate"/>
        </w:r>
        <w:r w:rsidR="00F37ECF">
          <w:rPr>
            <w:noProof/>
            <w:webHidden/>
          </w:rPr>
          <w:t>vi</w:t>
        </w:r>
        <w:r w:rsidR="00F37ECF">
          <w:rPr>
            <w:noProof/>
            <w:webHidden/>
          </w:rPr>
          <w:fldChar w:fldCharType="end"/>
        </w:r>
      </w:hyperlink>
    </w:p>
    <w:p w14:paraId="29648EFC" w14:textId="23C789E0" w:rsidR="00F37ECF" w:rsidRDefault="00000000">
      <w:pPr>
        <w:pStyle w:val="TOC1"/>
        <w:tabs>
          <w:tab w:val="left" w:pos="440"/>
          <w:tab w:val="right" w:leader="dot" w:pos="9350"/>
        </w:tabs>
        <w:rPr>
          <w:rFonts w:asciiTheme="minorHAnsi" w:eastAsiaTheme="minorEastAsia" w:hAnsiTheme="minorHAnsi"/>
          <w:b w:val="0"/>
          <w:noProof/>
          <w:color w:val="auto"/>
          <w:kern w:val="2"/>
          <w14:ligatures w14:val="standardContextual"/>
        </w:rPr>
      </w:pPr>
      <w:hyperlink w:anchor="_Toc158376351" w:history="1">
        <w:r w:rsidR="00F37ECF" w:rsidRPr="00250F63">
          <w:rPr>
            <w:rStyle w:val="Hyperlink"/>
            <w:noProof/>
          </w:rPr>
          <w:t>1</w:t>
        </w:r>
        <w:r w:rsidR="00F37ECF">
          <w:rPr>
            <w:rFonts w:asciiTheme="minorHAnsi" w:eastAsiaTheme="minorEastAsia" w:hAnsiTheme="minorHAnsi"/>
            <w:b w:val="0"/>
            <w:noProof/>
            <w:color w:val="auto"/>
            <w:kern w:val="2"/>
            <w14:ligatures w14:val="standardContextual"/>
          </w:rPr>
          <w:tab/>
        </w:r>
        <w:r w:rsidR="00F37ECF" w:rsidRPr="00250F63">
          <w:rPr>
            <w:rStyle w:val="Hyperlink"/>
            <w:noProof/>
          </w:rPr>
          <w:t>Project Overview</w:t>
        </w:r>
        <w:r w:rsidR="00F37ECF">
          <w:rPr>
            <w:noProof/>
            <w:webHidden/>
          </w:rPr>
          <w:tab/>
        </w:r>
        <w:r w:rsidR="00F37ECF">
          <w:rPr>
            <w:noProof/>
            <w:webHidden/>
          </w:rPr>
          <w:fldChar w:fldCharType="begin"/>
        </w:r>
        <w:r w:rsidR="00F37ECF">
          <w:rPr>
            <w:noProof/>
            <w:webHidden/>
          </w:rPr>
          <w:instrText xml:space="preserve"> PAGEREF _Toc158376351 \h </w:instrText>
        </w:r>
        <w:r w:rsidR="00F37ECF">
          <w:rPr>
            <w:noProof/>
            <w:webHidden/>
          </w:rPr>
        </w:r>
        <w:r w:rsidR="00F37ECF">
          <w:rPr>
            <w:noProof/>
            <w:webHidden/>
          </w:rPr>
          <w:fldChar w:fldCharType="separate"/>
        </w:r>
        <w:r w:rsidR="00F37ECF">
          <w:rPr>
            <w:noProof/>
            <w:webHidden/>
          </w:rPr>
          <w:t>8</w:t>
        </w:r>
        <w:r w:rsidR="00F37ECF">
          <w:rPr>
            <w:noProof/>
            <w:webHidden/>
          </w:rPr>
          <w:fldChar w:fldCharType="end"/>
        </w:r>
      </w:hyperlink>
    </w:p>
    <w:p w14:paraId="11CE236E" w14:textId="7EB49686" w:rsidR="00F37ECF" w:rsidRDefault="00000000">
      <w:pPr>
        <w:pStyle w:val="TOC1"/>
        <w:tabs>
          <w:tab w:val="left" w:pos="440"/>
          <w:tab w:val="right" w:leader="dot" w:pos="9350"/>
        </w:tabs>
        <w:rPr>
          <w:rFonts w:asciiTheme="minorHAnsi" w:eastAsiaTheme="minorEastAsia" w:hAnsiTheme="minorHAnsi"/>
          <w:b w:val="0"/>
          <w:noProof/>
          <w:color w:val="auto"/>
          <w:kern w:val="2"/>
          <w14:ligatures w14:val="standardContextual"/>
        </w:rPr>
      </w:pPr>
      <w:hyperlink w:anchor="_Toc158376352" w:history="1">
        <w:r w:rsidR="00F37ECF" w:rsidRPr="00250F63">
          <w:rPr>
            <w:rStyle w:val="Hyperlink"/>
            <w:noProof/>
          </w:rPr>
          <w:t>2</w:t>
        </w:r>
        <w:r w:rsidR="00F37ECF">
          <w:rPr>
            <w:rFonts w:asciiTheme="minorHAnsi" w:eastAsiaTheme="minorEastAsia" w:hAnsiTheme="minorHAnsi"/>
            <w:b w:val="0"/>
            <w:noProof/>
            <w:color w:val="auto"/>
            <w:kern w:val="2"/>
            <w14:ligatures w14:val="standardContextual"/>
          </w:rPr>
          <w:tab/>
        </w:r>
        <w:r w:rsidR="00F37ECF" w:rsidRPr="00250F63">
          <w:rPr>
            <w:rStyle w:val="Hyperlink"/>
            <w:noProof/>
          </w:rPr>
          <w:t>Project Team and Personnel</w:t>
        </w:r>
        <w:r w:rsidR="00F37ECF">
          <w:rPr>
            <w:noProof/>
            <w:webHidden/>
          </w:rPr>
          <w:tab/>
        </w:r>
        <w:r w:rsidR="00F37ECF">
          <w:rPr>
            <w:noProof/>
            <w:webHidden/>
          </w:rPr>
          <w:fldChar w:fldCharType="begin"/>
        </w:r>
        <w:r w:rsidR="00F37ECF">
          <w:rPr>
            <w:noProof/>
            <w:webHidden/>
          </w:rPr>
          <w:instrText xml:space="preserve"> PAGEREF _Toc158376352 \h </w:instrText>
        </w:r>
        <w:r w:rsidR="00F37ECF">
          <w:rPr>
            <w:noProof/>
            <w:webHidden/>
          </w:rPr>
        </w:r>
        <w:r w:rsidR="00F37ECF">
          <w:rPr>
            <w:noProof/>
            <w:webHidden/>
          </w:rPr>
          <w:fldChar w:fldCharType="separate"/>
        </w:r>
        <w:r w:rsidR="00F37ECF">
          <w:rPr>
            <w:noProof/>
            <w:webHidden/>
          </w:rPr>
          <w:t>10</w:t>
        </w:r>
        <w:r w:rsidR="00F37ECF">
          <w:rPr>
            <w:noProof/>
            <w:webHidden/>
          </w:rPr>
          <w:fldChar w:fldCharType="end"/>
        </w:r>
      </w:hyperlink>
    </w:p>
    <w:p w14:paraId="2C31EA2F" w14:textId="6A5A0561" w:rsidR="00F37ECF" w:rsidRDefault="00000000">
      <w:pPr>
        <w:pStyle w:val="TOC1"/>
        <w:tabs>
          <w:tab w:val="left" w:pos="440"/>
          <w:tab w:val="right" w:leader="dot" w:pos="9350"/>
        </w:tabs>
        <w:rPr>
          <w:rFonts w:asciiTheme="minorHAnsi" w:eastAsiaTheme="minorEastAsia" w:hAnsiTheme="minorHAnsi"/>
          <w:b w:val="0"/>
          <w:noProof/>
          <w:color w:val="auto"/>
          <w:kern w:val="2"/>
          <w14:ligatures w14:val="standardContextual"/>
        </w:rPr>
      </w:pPr>
      <w:hyperlink w:anchor="_Toc158376353" w:history="1">
        <w:r w:rsidR="00F37ECF" w:rsidRPr="00250F63">
          <w:rPr>
            <w:rStyle w:val="Hyperlink"/>
            <w:noProof/>
          </w:rPr>
          <w:t>3</w:t>
        </w:r>
        <w:r w:rsidR="00F37ECF">
          <w:rPr>
            <w:rFonts w:asciiTheme="minorHAnsi" w:eastAsiaTheme="minorEastAsia" w:hAnsiTheme="minorHAnsi"/>
            <w:b w:val="0"/>
            <w:noProof/>
            <w:color w:val="auto"/>
            <w:kern w:val="2"/>
            <w14:ligatures w14:val="standardContextual"/>
          </w:rPr>
          <w:tab/>
        </w:r>
        <w:r w:rsidR="00F37ECF" w:rsidRPr="00250F63">
          <w:rPr>
            <w:rStyle w:val="Hyperlink"/>
            <w:noProof/>
          </w:rPr>
          <w:t>Project Tasks and Schedule</w:t>
        </w:r>
        <w:r w:rsidR="00F37ECF">
          <w:rPr>
            <w:noProof/>
            <w:webHidden/>
          </w:rPr>
          <w:tab/>
        </w:r>
        <w:r w:rsidR="00F37ECF">
          <w:rPr>
            <w:noProof/>
            <w:webHidden/>
          </w:rPr>
          <w:fldChar w:fldCharType="begin"/>
        </w:r>
        <w:r w:rsidR="00F37ECF">
          <w:rPr>
            <w:noProof/>
            <w:webHidden/>
          </w:rPr>
          <w:instrText xml:space="preserve"> PAGEREF _Toc158376353 \h </w:instrText>
        </w:r>
        <w:r w:rsidR="00F37ECF">
          <w:rPr>
            <w:noProof/>
            <w:webHidden/>
          </w:rPr>
        </w:r>
        <w:r w:rsidR="00F37ECF">
          <w:rPr>
            <w:noProof/>
            <w:webHidden/>
          </w:rPr>
          <w:fldChar w:fldCharType="separate"/>
        </w:r>
        <w:r w:rsidR="00F37ECF">
          <w:rPr>
            <w:noProof/>
            <w:webHidden/>
          </w:rPr>
          <w:t>11</w:t>
        </w:r>
        <w:r w:rsidR="00F37ECF">
          <w:rPr>
            <w:noProof/>
            <w:webHidden/>
          </w:rPr>
          <w:fldChar w:fldCharType="end"/>
        </w:r>
      </w:hyperlink>
    </w:p>
    <w:p w14:paraId="11F1E1E5" w14:textId="484D3F01" w:rsidR="00F37ECF" w:rsidRDefault="00000000">
      <w:pPr>
        <w:pStyle w:val="TOC1"/>
        <w:tabs>
          <w:tab w:val="left" w:pos="440"/>
          <w:tab w:val="right" w:leader="dot" w:pos="9350"/>
        </w:tabs>
        <w:rPr>
          <w:rFonts w:asciiTheme="minorHAnsi" w:eastAsiaTheme="minorEastAsia" w:hAnsiTheme="minorHAnsi"/>
          <w:b w:val="0"/>
          <w:noProof/>
          <w:color w:val="auto"/>
          <w:kern w:val="2"/>
          <w14:ligatures w14:val="standardContextual"/>
        </w:rPr>
      </w:pPr>
      <w:hyperlink w:anchor="_Toc158376354" w:history="1">
        <w:r w:rsidR="00F37ECF" w:rsidRPr="00250F63">
          <w:rPr>
            <w:rStyle w:val="Hyperlink"/>
            <w:noProof/>
          </w:rPr>
          <w:t>4</w:t>
        </w:r>
        <w:r w:rsidR="00F37ECF">
          <w:rPr>
            <w:rFonts w:asciiTheme="minorHAnsi" w:eastAsiaTheme="minorEastAsia" w:hAnsiTheme="minorHAnsi"/>
            <w:b w:val="0"/>
            <w:noProof/>
            <w:color w:val="auto"/>
            <w:kern w:val="2"/>
            <w14:ligatures w14:val="standardContextual"/>
          </w:rPr>
          <w:tab/>
        </w:r>
        <w:r w:rsidR="00F37ECF" w:rsidRPr="00250F63">
          <w:rPr>
            <w:rStyle w:val="Hyperlink"/>
            <w:noProof/>
          </w:rPr>
          <w:t>Project Deliverables</w:t>
        </w:r>
        <w:r w:rsidR="00F37ECF">
          <w:rPr>
            <w:noProof/>
            <w:webHidden/>
          </w:rPr>
          <w:tab/>
        </w:r>
        <w:r w:rsidR="00F37ECF">
          <w:rPr>
            <w:noProof/>
            <w:webHidden/>
          </w:rPr>
          <w:fldChar w:fldCharType="begin"/>
        </w:r>
        <w:r w:rsidR="00F37ECF">
          <w:rPr>
            <w:noProof/>
            <w:webHidden/>
          </w:rPr>
          <w:instrText xml:space="preserve"> PAGEREF _Toc158376354 \h </w:instrText>
        </w:r>
        <w:r w:rsidR="00F37ECF">
          <w:rPr>
            <w:noProof/>
            <w:webHidden/>
          </w:rPr>
        </w:r>
        <w:r w:rsidR="00F37ECF">
          <w:rPr>
            <w:noProof/>
            <w:webHidden/>
          </w:rPr>
          <w:fldChar w:fldCharType="separate"/>
        </w:r>
        <w:r w:rsidR="00F37ECF">
          <w:rPr>
            <w:noProof/>
            <w:webHidden/>
          </w:rPr>
          <w:t>15</w:t>
        </w:r>
        <w:r w:rsidR="00F37ECF">
          <w:rPr>
            <w:noProof/>
            <w:webHidden/>
          </w:rPr>
          <w:fldChar w:fldCharType="end"/>
        </w:r>
      </w:hyperlink>
    </w:p>
    <w:p w14:paraId="0773D959" w14:textId="3D6CA3C6" w:rsidR="00F37ECF" w:rsidRDefault="00000000">
      <w:pPr>
        <w:pStyle w:val="TOC1"/>
        <w:tabs>
          <w:tab w:val="left" w:pos="440"/>
          <w:tab w:val="right" w:leader="dot" w:pos="9350"/>
        </w:tabs>
        <w:rPr>
          <w:rFonts w:asciiTheme="minorHAnsi" w:eastAsiaTheme="minorEastAsia" w:hAnsiTheme="minorHAnsi"/>
          <w:b w:val="0"/>
          <w:noProof/>
          <w:color w:val="auto"/>
          <w:kern w:val="2"/>
          <w14:ligatures w14:val="standardContextual"/>
        </w:rPr>
      </w:pPr>
      <w:hyperlink w:anchor="_Toc158376355" w:history="1">
        <w:r w:rsidR="00F37ECF" w:rsidRPr="00250F63">
          <w:rPr>
            <w:rStyle w:val="Hyperlink"/>
            <w:noProof/>
          </w:rPr>
          <w:t>5</w:t>
        </w:r>
        <w:r w:rsidR="00F37ECF">
          <w:rPr>
            <w:rFonts w:asciiTheme="minorHAnsi" w:eastAsiaTheme="minorEastAsia" w:hAnsiTheme="minorHAnsi"/>
            <w:b w:val="0"/>
            <w:noProof/>
            <w:color w:val="auto"/>
            <w:kern w:val="2"/>
            <w14:ligatures w14:val="standardContextual"/>
          </w:rPr>
          <w:tab/>
        </w:r>
        <w:r w:rsidR="00F37ECF" w:rsidRPr="00250F63">
          <w:rPr>
            <w:rStyle w:val="Hyperlink"/>
            <w:noProof/>
          </w:rPr>
          <w:t>Project Publications</w:t>
        </w:r>
        <w:r w:rsidR="00F37ECF">
          <w:rPr>
            <w:noProof/>
            <w:webHidden/>
          </w:rPr>
          <w:tab/>
        </w:r>
        <w:r w:rsidR="00F37ECF">
          <w:rPr>
            <w:noProof/>
            <w:webHidden/>
          </w:rPr>
          <w:fldChar w:fldCharType="begin"/>
        </w:r>
        <w:r w:rsidR="00F37ECF">
          <w:rPr>
            <w:noProof/>
            <w:webHidden/>
          </w:rPr>
          <w:instrText xml:space="preserve"> PAGEREF _Toc158376355 \h </w:instrText>
        </w:r>
        <w:r w:rsidR="00F37ECF">
          <w:rPr>
            <w:noProof/>
            <w:webHidden/>
          </w:rPr>
        </w:r>
        <w:r w:rsidR="00F37ECF">
          <w:rPr>
            <w:noProof/>
            <w:webHidden/>
          </w:rPr>
          <w:fldChar w:fldCharType="separate"/>
        </w:r>
        <w:r w:rsidR="00F37ECF">
          <w:rPr>
            <w:noProof/>
            <w:webHidden/>
          </w:rPr>
          <w:t>16</w:t>
        </w:r>
        <w:r w:rsidR="00F37ECF">
          <w:rPr>
            <w:noProof/>
            <w:webHidden/>
          </w:rPr>
          <w:fldChar w:fldCharType="end"/>
        </w:r>
      </w:hyperlink>
    </w:p>
    <w:p w14:paraId="0265E5EE" w14:textId="54B212D0" w:rsidR="00F37ECF" w:rsidRDefault="00000000">
      <w:pPr>
        <w:pStyle w:val="TOC1"/>
        <w:tabs>
          <w:tab w:val="left" w:pos="440"/>
          <w:tab w:val="right" w:leader="dot" w:pos="9350"/>
        </w:tabs>
        <w:rPr>
          <w:rFonts w:asciiTheme="minorHAnsi" w:eastAsiaTheme="minorEastAsia" w:hAnsiTheme="minorHAnsi"/>
          <w:b w:val="0"/>
          <w:noProof/>
          <w:color w:val="auto"/>
          <w:kern w:val="2"/>
          <w14:ligatures w14:val="standardContextual"/>
        </w:rPr>
      </w:pPr>
      <w:hyperlink w:anchor="_Toc158376356" w:history="1">
        <w:r w:rsidR="00F37ECF" w:rsidRPr="00250F63">
          <w:rPr>
            <w:rStyle w:val="Hyperlink"/>
            <w:noProof/>
          </w:rPr>
          <w:t>6</w:t>
        </w:r>
        <w:r w:rsidR="00F37ECF">
          <w:rPr>
            <w:rFonts w:asciiTheme="minorHAnsi" w:eastAsiaTheme="minorEastAsia" w:hAnsiTheme="minorHAnsi"/>
            <w:b w:val="0"/>
            <w:noProof/>
            <w:color w:val="auto"/>
            <w:kern w:val="2"/>
            <w14:ligatures w14:val="standardContextual"/>
          </w:rPr>
          <w:tab/>
        </w:r>
        <w:r w:rsidR="00F37ECF" w:rsidRPr="00250F63">
          <w:rPr>
            <w:rStyle w:val="Hyperlink"/>
            <w:noProof/>
          </w:rPr>
          <w:t>Project Summary</w:t>
        </w:r>
        <w:r w:rsidR="00F37ECF">
          <w:rPr>
            <w:noProof/>
            <w:webHidden/>
          </w:rPr>
          <w:tab/>
        </w:r>
        <w:r w:rsidR="00F37ECF">
          <w:rPr>
            <w:noProof/>
            <w:webHidden/>
          </w:rPr>
          <w:fldChar w:fldCharType="begin"/>
        </w:r>
        <w:r w:rsidR="00F37ECF">
          <w:rPr>
            <w:noProof/>
            <w:webHidden/>
          </w:rPr>
          <w:instrText xml:space="preserve"> PAGEREF _Toc158376356 \h </w:instrText>
        </w:r>
        <w:r w:rsidR="00F37ECF">
          <w:rPr>
            <w:noProof/>
            <w:webHidden/>
          </w:rPr>
        </w:r>
        <w:r w:rsidR="00F37ECF">
          <w:rPr>
            <w:noProof/>
            <w:webHidden/>
          </w:rPr>
          <w:fldChar w:fldCharType="separate"/>
        </w:r>
        <w:r w:rsidR="00F37ECF">
          <w:rPr>
            <w:noProof/>
            <w:webHidden/>
          </w:rPr>
          <w:t>17</w:t>
        </w:r>
        <w:r w:rsidR="00F37ECF">
          <w:rPr>
            <w:noProof/>
            <w:webHidden/>
          </w:rPr>
          <w:fldChar w:fldCharType="end"/>
        </w:r>
      </w:hyperlink>
    </w:p>
    <w:p w14:paraId="1A329096" w14:textId="1A543209" w:rsidR="00F37ECF" w:rsidRDefault="00000000">
      <w:pPr>
        <w:pStyle w:val="TOC2"/>
        <w:tabs>
          <w:tab w:val="left" w:pos="880"/>
          <w:tab w:val="right" w:leader="dot" w:pos="9350"/>
        </w:tabs>
        <w:rPr>
          <w:rFonts w:asciiTheme="minorHAnsi" w:eastAsiaTheme="minorEastAsia" w:hAnsiTheme="minorHAnsi"/>
          <w:noProof/>
          <w:color w:val="auto"/>
          <w:kern w:val="2"/>
          <w:sz w:val="22"/>
          <w14:ligatures w14:val="standardContextual"/>
        </w:rPr>
      </w:pPr>
      <w:hyperlink w:anchor="_Toc158376357" w:history="1">
        <w:r w:rsidR="00F37ECF" w:rsidRPr="00250F63">
          <w:rPr>
            <w:rStyle w:val="Hyperlink"/>
            <w:noProof/>
          </w:rPr>
          <w:t>6.1</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Power Systems Modeling</w:t>
        </w:r>
        <w:r w:rsidR="00F37ECF">
          <w:rPr>
            <w:noProof/>
            <w:webHidden/>
          </w:rPr>
          <w:tab/>
        </w:r>
        <w:r w:rsidR="00F37ECF">
          <w:rPr>
            <w:noProof/>
            <w:webHidden/>
          </w:rPr>
          <w:fldChar w:fldCharType="begin"/>
        </w:r>
        <w:r w:rsidR="00F37ECF">
          <w:rPr>
            <w:noProof/>
            <w:webHidden/>
          </w:rPr>
          <w:instrText xml:space="preserve"> PAGEREF _Toc158376357 \h </w:instrText>
        </w:r>
        <w:r w:rsidR="00F37ECF">
          <w:rPr>
            <w:noProof/>
            <w:webHidden/>
          </w:rPr>
        </w:r>
        <w:r w:rsidR="00F37ECF">
          <w:rPr>
            <w:noProof/>
            <w:webHidden/>
          </w:rPr>
          <w:fldChar w:fldCharType="separate"/>
        </w:r>
        <w:r w:rsidR="00F37ECF">
          <w:rPr>
            <w:noProof/>
            <w:webHidden/>
          </w:rPr>
          <w:t>17</w:t>
        </w:r>
        <w:r w:rsidR="00F37ECF">
          <w:rPr>
            <w:noProof/>
            <w:webHidden/>
          </w:rPr>
          <w:fldChar w:fldCharType="end"/>
        </w:r>
      </w:hyperlink>
    </w:p>
    <w:p w14:paraId="20E19C05" w14:textId="4AD0B234"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58" w:history="1">
        <w:r w:rsidR="00F37ECF" w:rsidRPr="00250F63">
          <w:rPr>
            <w:rStyle w:val="Hyperlink"/>
            <w:rFonts w:cs="Arial"/>
            <w:noProof/>
          </w:rPr>
          <w:t>6.1.1</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Modeling</w:t>
        </w:r>
        <w:r w:rsidR="00F37ECF">
          <w:rPr>
            <w:noProof/>
            <w:webHidden/>
          </w:rPr>
          <w:tab/>
        </w:r>
        <w:r w:rsidR="00F37ECF">
          <w:rPr>
            <w:noProof/>
            <w:webHidden/>
          </w:rPr>
          <w:fldChar w:fldCharType="begin"/>
        </w:r>
        <w:r w:rsidR="00F37ECF">
          <w:rPr>
            <w:noProof/>
            <w:webHidden/>
          </w:rPr>
          <w:instrText xml:space="preserve"> PAGEREF _Toc158376358 \h </w:instrText>
        </w:r>
        <w:r w:rsidR="00F37ECF">
          <w:rPr>
            <w:noProof/>
            <w:webHidden/>
          </w:rPr>
        </w:r>
        <w:r w:rsidR="00F37ECF">
          <w:rPr>
            <w:noProof/>
            <w:webHidden/>
          </w:rPr>
          <w:fldChar w:fldCharType="separate"/>
        </w:r>
        <w:r w:rsidR="00F37ECF">
          <w:rPr>
            <w:noProof/>
            <w:webHidden/>
          </w:rPr>
          <w:t>17</w:t>
        </w:r>
        <w:r w:rsidR="00F37ECF">
          <w:rPr>
            <w:noProof/>
            <w:webHidden/>
          </w:rPr>
          <w:fldChar w:fldCharType="end"/>
        </w:r>
      </w:hyperlink>
    </w:p>
    <w:p w14:paraId="0A2B27EA" w14:textId="49844773"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59" w:history="1">
        <w:r w:rsidR="00F37ECF" w:rsidRPr="00250F63">
          <w:rPr>
            <w:rStyle w:val="Hyperlink"/>
            <w:rFonts w:cs="Arial"/>
            <w:noProof/>
          </w:rPr>
          <w:t>6.1.2</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POI selection</w:t>
        </w:r>
        <w:r w:rsidR="00F37ECF">
          <w:rPr>
            <w:noProof/>
            <w:webHidden/>
          </w:rPr>
          <w:tab/>
        </w:r>
        <w:r w:rsidR="00F37ECF">
          <w:rPr>
            <w:noProof/>
            <w:webHidden/>
          </w:rPr>
          <w:fldChar w:fldCharType="begin"/>
        </w:r>
        <w:r w:rsidR="00F37ECF">
          <w:rPr>
            <w:noProof/>
            <w:webHidden/>
          </w:rPr>
          <w:instrText xml:space="preserve"> PAGEREF _Toc158376359 \h </w:instrText>
        </w:r>
        <w:r w:rsidR="00F37ECF">
          <w:rPr>
            <w:noProof/>
            <w:webHidden/>
          </w:rPr>
        </w:r>
        <w:r w:rsidR="00F37ECF">
          <w:rPr>
            <w:noProof/>
            <w:webHidden/>
          </w:rPr>
          <w:fldChar w:fldCharType="separate"/>
        </w:r>
        <w:r w:rsidR="00F37ECF">
          <w:rPr>
            <w:noProof/>
            <w:webHidden/>
          </w:rPr>
          <w:t>17</w:t>
        </w:r>
        <w:r w:rsidR="00F37ECF">
          <w:rPr>
            <w:noProof/>
            <w:webHidden/>
          </w:rPr>
          <w:fldChar w:fldCharType="end"/>
        </w:r>
      </w:hyperlink>
    </w:p>
    <w:p w14:paraId="34A6E30C" w14:textId="76B9B7B5"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60" w:history="1">
        <w:r w:rsidR="00F37ECF" w:rsidRPr="00250F63">
          <w:rPr>
            <w:rStyle w:val="Hyperlink"/>
            <w:rFonts w:cs="Arial"/>
            <w:noProof/>
          </w:rPr>
          <w:t>6.1.3</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OSG design</w:t>
        </w:r>
        <w:r w:rsidR="00F37ECF">
          <w:rPr>
            <w:noProof/>
            <w:webHidden/>
          </w:rPr>
          <w:tab/>
        </w:r>
        <w:r w:rsidR="00F37ECF">
          <w:rPr>
            <w:noProof/>
            <w:webHidden/>
          </w:rPr>
          <w:fldChar w:fldCharType="begin"/>
        </w:r>
        <w:r w:rsidR="00F37ECF">
          <w:rPr>
            <w:noProof/>
            <w:webHidden/>
          </w:rPr>
          <w:instrText xml:space="preserve"> PAGEREF _Toc158376360 \h </w:instrText>
        </w:r>
        <w:r w:rsidR="00F37ECF">
          <w:rPr>
            <w:noProof/>
            <w:webHidden/>
          </w:rPr>
        </w:r>
        <w:r w:rsidR="00F37ECF">
          <w:rPr>
            <w:noProof/>
            <w:webHidden/>
          </w:rPr>
          <w:fldChar w:fldCharType="separate"/>
        </w:r>
        <w:r w:rsidR="00F37ECF">
          <w:rPr>
            <w:noProof/>
            <w:webHidden/>
          </w:rPr>
          <w:t>18</w:t>
        </w:r>
        <w:r w:rsidR="00F37ECF">
          <w:rPr>
            <w:noProof/>
            <w:webHidden/>
          </w:rPr>
          <w:fldChar w:fldCharType="end"/>
        </w:r>
      </w:hyperlink>
    </w:p>
    <w:p w14:paraId="01610F31" w14:textId="775B3644"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61" w:history="1">
        <w:r w:rsidR="00F37ECF" w:rsidRPr="00250F63">
          <w:rPr>
            <w:rStyle w:val="Hyperlink"/>
            <w:rFonts w:cs="Arial"/>
            <w:noProof/>
          </w:rPr>
          <w:t>6.1.4</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Macrogrid</w:t>
        </w:r>
        <w:r w:rsidR="00F37ECF">
          <w:rPr>
            <w:noProof/>
            <w:webHidden/>
          </w:rPr>
          <w:tab/>
        </w:r>
        <w:r w:rsidR="00F37ECF">
          <w:rPr>
            <w:noProof/>
            <w:webHidden/>
          </w:rPr>
          <w:fldChar w:fldCharType="begin"/>
        </w:r>
        <w:r w:rsidR="00F37ECF">
          <w:rPr>
            <w:noProof/>
            <w:webHidden/>
          </w:rPr>
          <w:instrText xml:space="preserve"> PAGEREF _Toc158376361 \h </w:instrText>
        </w:r>
        <w:r w:rsidR="00F37ECF">
          <w:rPr>
            <w:noProof/>
            <w:webHidden/>
          </w:rPr>
        </w:r>
        <w:r w:rsidR="00F37ECF">
          <w:rPr>
            <w:noProof/>
            <w:webHidden/>
          </w:rPr>
          <w:fldChar w:fldCharType="separate"/>
        </w:r>
        <w:r w:rsidR="00F37ECF">
          <w:rPr>
            <w:noProof/>
            <w:webHidden/>
          </w:rPr>
          <w:t>18</w:t>
        </w:r>
        <w:r w:rsidR="00F37ECF">
          <w:rPr>
            <w:noProof/>
            <w:webHidden/>
          </w:rPr>
          <w:fldChar w:fldCharType="end"/>
        </w:r>
      </w:hyperlink>
    </w:p>
    <w:p w14:paraId="03907763" w14:textId="6011F35F" w:rsidR="00F37ECF" w:rsidRDefault="00000000">
      <w:pPr>
        <w:pStyle w:val="TOC4"/>
        <w:tabs>
          <w:tab w:val="right" w:leader="dot" w:pos="9350"/>
        </w:tabs>
        <w:rPr>
          <w:rFonts w:asciiTheme="minorHAnsi" w:eastAsiaTheme="minorEastAsia" w:hAnsiTheme="minorHAnsi"/>
          <w:noProof/>
          <w:color w:val="auto"/>
          <w:kern w:val="2"/>
          <w:sz w:val="22"/>
          <w14:ligatures w14:val="standardContextual"/>
        </w:rPr>
      </w:pPr>
      <w:hyperlink w:anchor="_Toc158376362" w:history="1">
        <w:r w:rsidR="00F37ECF" w:rsidRPr="00250F63">
          <w:rPr>
            <w:rStyle w:val="Hyperlink"/>
            <w:noProof/>
          </w:rPr>
          <w:t>6.1.4.1 Number of AC onshore expansion projects</w:t>
        </w:r>
        <w:r w:rsidR="00F37ECF">
          <w:rPr>
            <w:noProof/>
            <w:webHidden/>
          </w:rPr>
          <w:tab/>
        </w:r>
        <w:r w:rsidR="00F37ECF">
          <w:rPr>
            <w:noProof/>
            <w:webHidden/>
          </w:rPr>
          <w:fldChar w:fldCharType="begin"/>
        </w:r>
        <w:r w:rsidR="00F37ECF">
          <w:rPr>
            <w:noProof/>
            <w:webHidden/>
          </w:rPr>
          <w:instrText xml:space="preserve"> PAGEREF _Toc158376362 \h </w:instrText>
        </w:r>
        <w:r w:rsidR="00F37ECF">
          <w:rPr>
            <w:noProof/>
            <w:webHidden/>
          </w:rPr>
        </w:r>
        <w:r w:rsidR="00F37ECF">
          <w:rPr>
            <w:noProof/>
            <w:webHidden/>
          </w:rPr>
          <w:fldChar w:fldCharType="separate"/>
        </w:r>
        <w:r w:rsidR="00F37ECF">
          <w:rPr>
            <w:noProof/>
            <w:webHidden/>
          </w:rPr>
          <w:t>18</w:t>
        </w:r>
        <w:r w:rsidR="00F37ECF">
          <w:rPr>
            <w:noProof/>
            <w:webHidden/>
          </w:rPr>
          <w:fldChar w:fldCharType="end"/>
        </w:r>
      </w:hyperlink>
    </w:p>
    <w:p w14:paraId="5840C75D" w14:textId="5584AB1E" w:rsidR="00F37ECF" w:rsidRDefault="00000000">
      <w:pPr>
        <w:pStyle w:val="TOC4"/>
        <w:tabs>
          <w:tab w:val="right" w:leader="dot" w:pos="9350"/>
        </w:tabs>
        <w:rPr>
          <w:rFonts w:asciiTheme="minorHAnsi" w:eastAsiaTheme="minorEastAsia" w:hAnsiTheme="minorHAnsi"/>
          <w:noProof/>
          <w:color w:val="auto"/>
          <w:kern w:val="2"/>
          <w:sz w:val="22"/>
          <w14:ligatures w14:val="standardContextual"/>
        </w:rPr>
      </w:pPr>
      <w:hyperlink w:anchor="_Toc158376363" w:history="1">
        <w:r w:rsidR="00F37ECF" w:rsidRPr="00250F63">
          <w:rPr>
            <w:rStyle w:val="Hyperlink"/>
            <w:noProof/>
          </w:rPr>
          <w:t>6.1.4.2 Sharing of energy and services</w:t>
        </w:r>
        <w:r w:rsidR="00F37ECF">
          <w:rPr>
            <w:noProof/>
            <w:webHidden/>
          </w:rPr>
          <w:tab/>
        </w:r>
        <w:r w:rsidR="00F37ECF">
          <w:rPr>
            <w:noProof/>
            <w:webHidden/>
          </w:rPr>
          <w:fldChar w:fldCharType="begin"/>
        </w:r>
        <w:r w:rsidR="00F37ECF">
          <w:rPr>
            <w:noProof/>
            <w:webHidden/>
          </w:rPr>
          <w:instrText xml:space="preserve"> PAGEREF _Toc158376363 \h </w:instrText>
        </w:r>
        <w:r w:rsidR="00F37ECF">
          <w:rPr>
            <w:noProof/>
            <w:webHidden/>
          </w:rPr>
        </w:r>
        <w:r w:rsidR="00F37ECF">
          <w:rPr>
            <w:noProof/>
            <w:webHidden/>
          </w:rPr>
          <w:fldChar w:fldCharType="separate"/>
        </w:r>
        <w:r w:rsidR="00F37ECF">
          <w:rPr>
            <w:noProof/>
            <w:webHidden/>
          </w:rPr>
          <w:t>19</w:t>
        </w:r>
        <w:r w:rsidR="00F37ECF">
          <w:rPr>
            <w:noProof/>
            <w:webHidden/>
          </w:rPr>
          <w:fldChar w:fldCharType="end"/>
        </w:r>
      </w:hyperlink>
    </w:p>
    <w:p w14:paraId="482D1B2D" w14:textId="24F4B2E4"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64" w:history="1">
        <w:r w:rsidR="00F37ECF" w:rsidRPr="00250F63">
          <w:rPr>
            <w:rStyle w:val="Hyperlink"/>
            <w:rFonts w:cs="Arial"/>
            <w:noProof/>
          </w:rPr>
          <w:t>6.1.5</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Single-source contingency limits (SSCL)</w:t>
        </w:r>
        <w:r w:rsidR="00F37ECF">
          <w:rPr>
            <w:noProof/>
            <w:webHidden/>
          </w:rPr>
          <w:tab/>
        </w:r>
        <w:r w:rsidR="00F37ECF">
          <w:rPr>
            <w:noProof/>
            <w:webHidden/>
          </w:rPr>
          <w:fldChar w:fldCharType="begin"/>
        </w:r>
        <w:r w:rsidR="00F37ECF">
          <w:rPr>
            <w:noProof/>
            <w:webHidden/>
          </w:rPr>
          <w:instrText xml:space="preserve"> PAGEREF _Toc158376364 \h </w:instrText>
        </w:r>
        <w:r w:rsidR="00F37ECF">
          <w:rPr>
            <w:noProof/>
            <w:webHidden/>
          </w:rPr>
        </w:r>
        <w:r w:rsidR="00F37ECF">
          <w:rPr>
            <w:noProof/>
            <w:webHidden/>
          </w:rPr>
          <w:fldChar w:fldCharType="separate"/>
        </w:r>
        <w:r w:rsidR="00F37ECF">
          <w:rPr>
            <w:noProof/>
            <w:webHidden/>
          </w:rPr>
          <w:t>19</w:t>
        </w:r>
        <w:r w:rsidR="00F37ECF">
          <w:rPr>
            <w:noProof/>
            <w:webHidden/>
          </w:rPr>
          <w:fldChar w:fldCharType="end"/>
        </w:r>
      </w:hyperlink>
    </w:p>
    <w:p w14:paraId="05786684" w14:textId="0FC99B37" w:rsidR="00F37ECF" w:rsidRDefault="00000000">
      <w:pPr>
        <w:pStyle w:val="TOC2"/>
        <w:tabs>
          <w:tab w:val="left" w:pos="880"/>
          <w:tab w:val="right" w:leader="dot" w:pos="9350"/>
        </w:tabs>
        <w:rPr>
          <w:rFonts w:asciiTheme="minorHAnsi" w:eastAsiaTheme="minorEastAsia" w:hAnsiTheme="minorHAnsi"/>
          <w:noProof/>
          <w:color w:val="auto"/>
          <w:kern w:val="2"/>
          <w:sz w:val="22"/>
          <w14:ligatures w14:val="standardContextual"/>
        </w:rPr>
      </w:pPr>
      <w:hyperlink w:anchor="_Toc158376365" w:history="1">
        <w:r w:rsidR="00F37ECF" w:rsidRPr="00250F63">
          <w:rPr>
            <w:rStyle w:val="Hyperlink"/>
            <w:noProof/>
          </w:rPr>
          <w:t>6.2</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HVDC Technology</w:t>
        </w:r>
        <w:r w:rsidR="00F37ECF">
          <w:rPr>
            <w:noProof/>
            <w:webHidden/>
          </w:rPr>
          <w:tab/>
        </w:r>
        <w:r w:rsidR="00F37ECF">
          <w:rPr>
            <w:noProof/>
            <w:webHidden/>
          </w:rPr>
          <w:fldChar w:fldCharType="begin"/>
        </w:r>
        <w:r w:rsidR="00F37ECF">
          <w:rPr>
            <w:noProof/>
            <w:webHidden/>
          </w:rPr>
          <w:instrText xml:space="preserve"> PAGEREF _Toc158376365 \h </w:instrText>
        </w:r>
        <w:r w:rsidR="00F37ECF">
          <w:rPr>
            <w:noProof/>
            <w:webHidden/>
          </w:rPr>
        </w:r>
        <w:r w:rsidR="00F37ECF">
          <w:rPr>
            <w:noProof/>
            <w:webHidden/>
          </w:rPr>
          <w:fldChar w:fldCharType="separate"/>
        </w:r>
        <w:r w:rsidR="00F37ECF">
          <w:rPr>
            <w:noProof/>
            <w:webHidden/>
          </w:rPr>
          <w:t>20</w:t>
        </w:r>
        <w:r w:rsidR="00F37ECF">
          <w:rPr>
            <w:noProof/>
            <w:webHidden/>
          </w:rPr>
          <w:fldChar w:fldCharType="end"/>
        </w:r>
      </w:hyperlink>
    </w:p>
    <w:p w14:paraId="77018F45" w14:textId="70755FDB"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66" w:history="1">
        <w:r w:rsidR="00F37ECF" w:rsidRPr="00250F63">
          <w:rPr>
            <w:rStyle w:val="Hyperlink"/>
            <w:rFonts w:cs="Arial"/>
            <w:noProof/>
          </w:rPr>
          <w:t>6.2.1</w:t>
        </w:r>
        <w:r w:rsidR="00F37ECF">
          <w:rPr>
            <w:rFonts w:asciiTheme="minorHAnsi" w:eastAsiaTheme="minorEastAsia" w:hAnsiTheme="minorHAnsi"/>
            <w:noProof/>
            <w:color w:val="auto"/>
            <w:kern w:val="2"/>
            <w:sz w:val="22"/>
            <w14:ligatures w14:val="standardContextual"/>
          </w:rPr>
          <w:tab/>
        </w:r>
        <w:r w:rsidR="00F37ECF" w:rsidRPr="00250F63">
          <w:rPr>
            <w:rStyle w:val="Hyperlink"/>
            <w:bCs/>
            <w:i/>
            <w:iCs/>
            <w:noProof/>
          </w:rPr>
          <w:t>TenneT 2 GW OSW</w:t>
        </w:r>
        <w:r w:rsidR="00F37ECF" w:rsidRPr="00250F63">
          <w:rPr>
            <w:rStyle w:val="Hyperlink"/>
            <w:noProof/>
          </w:rPr>
          <w:t xml:space="preserve"> Standard</w:t>
        </w:r>
        <w:r w:rsidR="00F37ECF">
          <w:rPr>
            <w:noProof/>
            <w:webHidden/>
          </w:rPr>
          <w:tab/>
        </w:r>
        <w:r w:rsidR="00F37ECF">
          <w:rPr>
            <w:noProof/>
            <w:webHidden/>
          </w:rPr>
          <w:fldChar w:fldCharType="begin"/>
        </w:r>
        <w:r w:rsidR="00F37ECF">
          <w:rPr>
            <w:noProof/>
            <w:webHidden/>
          </w:rPr>
          <w:instrText xml:space="preserve"> PAGEREF _Toc158376366 \h </w:instrText>
        </w:r>
        <w:r w:rsidR="00F37ECF">
          <w:rPr>
            <w:noProof/>
            <w:webHidden/>
          </w:rPr>
        </w:r>
        <w:r w:rsidR="00F37ECF">
          <w:rPr>
            <w:noProof/>
            <w:webHidden/>
          </w:rPr>
          <w:fldChar w:fldCharType="separate"/>
        </w:r>
        <w:r w:rsidR="00F37ECF">
          <w:rPr>
            <w:noProof/>
            <w:webHidden/>
          </w:rPr>
          <w:t>21</w:t>
        </w:r>
        <w:r w:rsidR="00F37ECF">
          <w:rPr>
            <w:noProof/>
            <w:webHidden/>
          </w:rPr>
          <w:fldChar w:fldCharType="end"/>
        </w:r>
      </w:hyperlink>
    </w:p>
    <w:p w14:paraId="11E2488C" w14:textId="1B223453"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67" w:history="1">
        <w:r w:rsidR="00F37ECF" w:rsidRPr="00250F63">
          <w:rPr>
            <w:rStyle w:val="Hyperlink"/>
            <w:rFonts w:cs="Arial"/>
            <w:noProof/>
          </w:rPr>
          <w:t>6.2.2</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Large-Scale Testing Facilities</w:t>
        </w:r>
        <w:r w:rsidR="00F37ECF">
          <w:rPr>
            <w:noProof/>
            <w:webHidden/>
          </w:rPr>
          <w:tab/>
        </w:r>
        <w:r w:rsidR="00F37ECF">
          <w:rPr>
            <w:noProof/>
            <w:webHidden/>
          </w:rPr>
          <w:fldChar w:fldCharType="begin"/>
        </w:r>
        <w:r w:rsidR="00F37ECF">
          <w:rPr>
            <w:noProof/>
            <w:webHidden/>
          </w:rPr>
          <w:instrText xml:space="preserve"> PAGEREF _Toc158376367 \h </w:instrText>
        </w:r>
        <w:r w:rsidR="00F37ECF">
          <w:rPr>
            <w:noProof/>
            <w:webHidden/>
          </w:rPr>
        </w:r>
        <w:r w:rsidR="00F37ECF">
          <w:rPr>
            <w:noProof/>
            <w:webHidden/>
          </w:rPr>
          <w:fldChar w:fldCharType="separate"/>
        </w:r>
        <w:r w:rsidR="00F37ECF">
          <w:rPr>
            <w:noProof/>
            <w:webHidden/>
          </w:rPr>
          <w:t>23</w:t>
        </w:r>
        <w:r w:rsidR="00F37ECF">
          <w:rPr>
            <w:noProof/>
            <w:webHidden/>
          </w:rPr>
          <w:fldChar w:fldCharType="end"/>
        </w:r>
      </w:hyperlink>
    </w:p>
    <w:p w14:paraId="3105EDB7" w14:textId="0BCBDB9B" w:rsidR="00F37ECF" w:rsidRDefault="00000000">
      <w:pPr>
        <w:pStyle w:val="TOC4"/>
        <w:tabs>
          <w:tab w:val="right" w:leader="dot" w:pos="9350"/>
        </w:tabs>
        <w:rPr>
          <w:rFonts w:asciiTheme="minorHAnsi" w:eastAsiaTheme="minorEastAsia" w:hAnsiTheme="minorHAnsi"/>
          <w:noProof/>
          <w:color w:val="auto"/>
          <w:kern w:val="2"/>
          <w:sz w:val="22"/>
          <w14:ligatures w14:val="standardContextual"/>
        </w:rPr>
      </w:pPr>
      <w:hyperlink w:anchor="_Toc158376368" w:history="1">
        <w:r w:rsidR="00F37ECF" w:rsidRPr="00250F63">
          <w:rPr>
            <w:rStyle w:val="Hyperlink"/>
            <w:noProof/>
          </w:rPr>
          <w:t>6.2.2.1 35MW Hybrid Grid Simulator at 66kV</w:t>
        </w:r>
        <w:r w:rsidR="00F37ECF">
          <w:rPr>
            <w:noProof/>
            <w:webHidden/>
          </w:rPr>
          <w:tab/>
        </w:r>
        <w:r w:rsidR="00F37ECF">
          <w:rPr>
            <w:noProof/>
            <w:webHidden/>
          </w:rPr>
          <w:fldChar w:fldCharType="begin"/>
        </w:r>
        <w:r w:rsidR="00F37ECF">
          <w:rPr>
            <w:noProof/>
            <w:webHidden/>
          </w:rPr>
          <w:instrText xml:space="preserve"> PAGEREF _Toc158376368 \h </w:instrText>
        </w:r>
        <w:r w:rsidR="00F37ECF">
          <w:rPr>
            <w:noProof/>
            <w:webHidden/>
          </w:rPr>
        </w:r>
        <w:r w:rsidR="00F37ECF">
          <w:rPr>
            <w:noProof/>
            <w:webHidden/>
          </w:rPr>
          <w:fldChar w:fldCharType="separate"/>
        </w:r>
        <w:r w:rsidR="00F37ECF">
          <w:rPr>
            <w:noProof/>
            <w:webHidden/>
          </w:rPr>
          <w:t>24</w:t>
        </w:r>
        <w:r w:rsidR="00F37ECF">
          <w:rPr>
            <w:noProof/>
            <w:webHidden/>
          </w:rPr>
          <w:fldChar w:fldCharType="end"/>
        </w:r>
      </w:hyperlink>
    </w:p>
    <w:p w14:paraId="4B7D4A90" w14:textId="5EB84C37" w:rsidR="00F37ECF" w:rsidRDefault="00000000">
      <w:pPr>
        <w:pStyle w:val="TOC4"/>
        <w:tabs>
          <w:tab w:val="right" w:leader="dot" w:pos="9350"/>
        </w:tabs>
        <w:rPr>
          <w:rFonts w:asciiTheme="minorHAnsi" w:eastAsiaTheme="minorEastAsia" w:hAnsiTheme="minorHAnsi"/>
          <w:noProof/>
          <w:color w:val="auto"/>
          <w:kern w:val="2"/>
          <w:sz w:val="22"/>
          <w14:ligatures w14:val="standardContextual"/>
        </w:rPr>
      </w:pPr>
      <w:hyperlink w:anchor="_Toc158376369" w:history="1">
        <w:r w:rsidR="00F37ECF" w:rsidRPr="00250F63">
          <w:rPr>
            <w:rStyle w:val="Hyperlink"/>
            <w:noProof/>
          </w:rPr>
          <w:t>6.2.2.2 Power HIL and HPC Facility</w:t>
        </w:r>
        <w:r w:rsidR="00F37ECF">
          <w:rPr>
            <w:noProof/>
            <w:webHidden/>
          </w:rPr>
          <w:tab/>
        </w:r>
        <w:r w:rsidR="00F37ECF">
          <w:rPr>
            <w:noProof/>
            <w:webHidden/>
          </w:rPr>
          <w:fldChar w:fldCharType="begin"/>
        </w:r>
        <w:r w:rsidR="00F37ECF">
          <w:rPr>
            <w:noProof/>
            <w:webHidden/>
          </w:rPr>
          <w:instrText xml:space="preserve"> PAGEREF _Toc158376369 \h </w:instrText>
        </w:r>
        <w:r w:rsidR="00F37ECF">
          <w:rPr>
            <w:noProof/>
            <w:webHidden/>
          </w:rPr>
        </w:r>
        <w:r w:rsidR="00F37ECF">
          <w:rPr>
            <w:noProof/>
            <w:webHidden/>
          </w:rPr>
          <w:fldChar w:fldCharType="separate"/>
        </w:r>
        <w:r w:rsidR="00F37ECF">
          <w:rPr>
            <w:noProof/>
            <w:webHidden/>
          </w:rPr>
          <w:t>26</w:t>
        </w:r>
        <w:r w:rsidR="00F37ECF">
          <w:rPr>
            <w:noProof/>
            <w:webHidden/>
          </w:rPr>
          <w:fldChar w:fldCharType="end"/>
        </w:r>
      </w:hyperlink>
    </w:p>
    <w:p w14:paraId="20A26249" w14:textId="5954D011" w:rsidR="00F37ECF" w:rsidRDefault="00000000">
      <w:pPr>
        <w:pStyle w:val="TOC2"/>
        <w:tabs>
          <w:tab w:val="left" w:pos="880"/>
          <w:tab w:val="right" w:leader="dot" w:pos="9350"/>
        </w:tabs>
        <w:rPr>
          <w:rFonts w:asciiTheme="minorHAnsi" w:eastAsiaTheme="minorEastAsia" w:hAnsiTheme="minorHAnsi"/>
          <w:noProof/>
          <w:color w:val="auto"/>
          <w:kern w:val="2"/>
          <w:sz w:val="22"/>
          <w14:ligatures w14:val="standardContextual"/>
        </w:rPr>
      </w:pPr>
      <w:hyperlink w:anchor="_Toc158376370" w:history="1">
        <w:r w:rsidR="00F37ECF" w:rsidRPr="00250F63">
          <w:rPr>
            <w:rStyle w:val="Hyperlink"/>
            <w:noProof/>
          </w:rPr>
          <w:t>6.3</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Policy Assessment</w:t>
        </w:r>
        <w:r w:rsidR="00F37ECF">
          <w:rPr>
            <w:noProof/>
            <w:webHidden/>
          </w:rPr>
          <w:tab/>
        </w:r>
        <w:r w:rsidR="00F37ECF">
          <w:rPr>
            <w:noProof/>
            <w:webHidden/>
          </w:rPr>
          <w:fldChar w:fldCharType="begin"/>
        </w:r>
        <w:r w:rsidR="00F37ECF">
          <w:rPr>
            <w:noProof/>
            <w:webHidden/>
          </w:rPr>
          <w:instrText xml:space="preserve"> PAGEREF _Toc158376370 \h </w:instrText>
        </w:r>
        <w:r w:rsidR="00F37ECF">
          <w:rPr>
            <w:noProof/>
            <w:webHidden/>
          </w:rPr>
        </w:r>
        <w:r w:rsidR="00F37ECF">
          <w:rPr>
            <w:noProof/>
            <w:webHidden/>
          </w:rPr>
          <w:fldChar w:fldCharType="separate"/>
        </w:r>
        <w:r w:rsidR="00F37ECF">
          <w:rPr>
            <w:noProof/>
            <w:webHidden/>
          </w:rPr>
          <w:t>27</w:t>
        </w:r>
        <w:r w:rsidR="00F37ECF">
          <w:rPr>
            <w:noProof/>
            <w:webHidden/>
          </w:rPr>
          <w:fldChar w:fldCharType="end"/>
        </w:r>
      </w:hyperlink>
    </w:p>
    <w:p w14:paraId="10A15A8C" w14:textId="0511838C"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71" w:history="1">
        <w:r w:rsidR="00F37ECF" w:rsidRPr="00250F63">
          <w:rPr>
            <w:rStyle w:val="Hyperlink"/>
            <w:rFonts w:cs="Arial"/>
            <w:noProof/>
          </w:rPr>
          <w:t>6.3.1</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The Role of the Federal Government</w:t>
        </w:r>
        <w:r w:rsidR="00F37ECF">
          <w:rPr>
            <w:noProof/>
            <w:webHidden/>
          </w:rPr>
          <w:tab/>
        </w:r>
        <w:r w:rsidR="00F37ECF">
          <w:rPr>
            <w:noProof/>
            <w:webHidden/>
          </w:rPr>
          <w:fldChar w:fldCharType="begin"/>
        </w:r>
        <w:r w:rsidR="00F37ECF">
          <w:rPr>
            <w:noProof/>
            <w:webHidden/>
          </w:rPr>
          <w:instrText xml:space="preserve"> PAGEREF _Toc158376371 \h </w:instrText>
        </w:r>
        <w:r w:rsidR="00F37ECF">
          <w:rPr>
            <w:noProof/>
            <w:webHidden/>
          </w:rPr>
        </w:r>
        <w:r w:rsidR="00F37ECF">
          <w:rPr>
            <w:noProof/>
            <w:webHidden/>
          </w:rPr>
          <w:fldChar w:fldCharType="separate"/>
        </w:r>
        <w:r w:rsidR="00F37ECF">
          <w:rPr>
            <w:noProof/>
            <w:webHidden/>
          </w:rPr>
          <w:t>27</w:t>
        </w:r>
        <w:r w:rsidR="00F37ECF">
          <w:rPr>
            <w:noProof/>
            <w:webHidden/>
          </w:rPr>
          <w:fldChar w:fldCharType="end"/>
        </w:r>
      </w:hyperlink>
    </w:p>
    <w:p w14:paraId="191B600A" w14:textId="452C45EC"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72" w:history="1">
        <w:r w:rsidR="00F37ECF" w:rsidRPr="00250F63">
          <w:rPr>
            <w:rStyle w:val="Hyperlink"/>
            <w:rFonts w:cs="Arial"/>
            <w:noProof/>
          </w:rPr>
          <w:t>6.3.2</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Interconnection Queue Process Reforms</w:t>
        </w:r>
        <w:r w:rsidR="00F37ECF">
          <w:rPr>
            <w:noProof/>
            <w:webHidden/>
          </w:rPr>
          <w:tab/>
        </w:r>
        <w:r w:rsidR="00F37ECF">
          <w:rPr>
            <w:noProof/>
            <w:webHidden/>
          </w:rPr>
          <w:fldChar w:fldCharType="begin"/>
        </w:r>
        <w:r w:rsidR="00F37ECF">
          <w:rPr>
            <w:noProof/>
            <w:webHidden/>
          </w:rPr>
          <w:instrText xml:space="preserve"> PAGEREF _Toc158376372 \h </w:instrText>
        </w:r>
        <w:r w:rsidR="00F37ECF">
          <w:rPr>
            <w:noProof/>
            <w:webHidden/>
          </w:rPr>
        </w:r>
        <w:r w:rsidR="00F37ECF">
          <w:rPr>
            <w:noProof/>
            <w:webHidden/>
          </w:rPr>
          <w:fldChar w:fldCharType="separate"/>
        </w:r>
        <w:r w:rsidR="00F37ECF">
          <w:rPr>
            <w:noProof/>
            <w:webHidden/>
          </w:rPr>
          <w:t>28</w:t>
        </w:r>
        <w:r w:rsidR="00F37ECF">
          <w:rPr>
            <w:noProof/>
            <w:webHidden/>
          </w:rPr>
          <w:fldChar w:fldCharType="end"/>
        </w:r>
      </w:hyperlink>
    </w:p>
    <w:p w14:paraId="4A40156E" w14:textId="11E176E6"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73" w:history="1">
        <w:r w:rsidR="00F37ECF" w:rsidRPr="00250F63">
          <w:rPr>
            <w:rStyle w:val="Hyperlink"/>
            <w:rFonts w:cs="Arial"/>
            <w:noProof/>
          </w:rPr>
          <w:t>6.3.3</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Community Benefits with Accountability</w:t>
        </w:r>
        <w:r w:rsidR="00F37ECF">
          <w:rPr>
            <w:noProof/>
            <w:webHidden/>
          </w:rPr>
          <w:tab/>
        </w:r>
        <w:r w:rsidR="00F37ECF">
          <w:rPr>
            <w:noProof/>
            <w:webHidden/>
          </w:rPr>
          <w:fldChar w:fldCharType="begin"/>
        </w:r>
        <w:r w:rsidR="00F37ECF">
          <w:rPr>
            <w:noProof/>
            <w:webHidden/>
          </w:rPr>
          <w:instrText xml:space="preserve"> PAGEREF _Toc158376373 \h </w:instrText>
        </w:r>
        <w:r w:rsidR="00F37ECF">
          <w:rPr>
            <w:noProof/>
            <w:webHidden/>
          </w:rPr>
        </w:r>
        <w:r w:rsidR="00F37ECF">
          <w:rPr>
            <w:noProof/>
            <w:webHidden/>
          </w:rPr>
          <w:fldChar w:fldCharType="separate"/>
        </w:r>
        <w:r w:rsidR="00F37ECF">
          <w:rPr>
            <w:noProof/>
            <w:webHidden/>
          </w:rPr>
          <w:t>30</w:t>
        </w:r>
        <w:r w:rsidR="00F37ECF">
          <w:rPr>
            <w:noProof/>
            <w:webHidden/>
          </w:rPr>
          <w:fldChar w:fldCharType="end"/>
        </w:r>
      </w:hyperlink>
    </w:p>
    <w:p w14:paraId="178306D6" w14:textId="14CC0529" w:rsidR="00F37ECF" w:rsidRDefault="00000000">
      <w:pPr>
        <w:pStyle w:val="TOC2"/>
        <w:tabs>
          <w:tab w:val="left" w:pos="880"/>
          <w:tab w:val="right" w:leader="dot" w:pos="9350"/>
        </w:tabs>
        <w:rPr>
          <w:rFonts w:asciiTheme="minorHAnsi" w:eastAsiaTheme="minorEastAsia" w:hAnsiTheme="minorHAnsi"/>
          <w:noProof/>
          <w:color w:val="auto"/>
          <w:kern w:val="2"/>
          <w:sz w:val="22"/>
          <w14:ligatures w14:val="standardContextual"/>
        </w:rPr>
      </w:pPr>
      <w:hyperlink w:anchor="_Toc158376374" w:history="1">
        <w:r w:rsidR="00F37ECF" w:rsidRPr="00250F63">
          <w:rPr>
            <w:rStyle w:val="Hyperlink"/>
            <w:noProof/>
          </w:rPr>
          <w:t>6.4</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Recommendations for an Offshore/Onshore MT-HVDC System</w:t>
        </w:r>
        <w:r w:rsidR="00F37ECF">
          <w:rPr>
            <w:noProof/>
            <w:webHidden/>
          </w:rPr>
          <w:tab/>
        </w:r>
        <w:r w:rsidR="00F37ECF">
          <w:rPr>
            <w:noProof/>
            <w:webHidden/>
          </w:rPr>
          <w:fldChar w:fldCharType="begin"/>
        </w:r>
        <w:r w:rsidR="00F37ECF">
          <w:rPr>
            <w:noProof/>
            <w:webHidden/>
          </w:rPr>
          <w:instrText xml:space="preserve"> PAGEREF _Toc158376374 \h </w:instrText>
        </w:r>
        <w:r w:rsidR="00F37ECF">
          <w:rPr>
            <w:noProof/>
            <w:webHidden/>
          </w:rPr>
        </w:r>
        <w:r w:rsidR="00F37ECF">
          <w:rPr>
            <w:noProof/>
            <w:webHidden/>
          </w:rPr>
          <w:fldChar w:fldCharType="separate"/>
        </w:r>
        <w:r w:rsidR="00F37ECF">
          <w:rPr>
            <w:noProof/>
            <w:webHidden/>
          </w:rPr>
          <w:t>30</w:t>
        </w:r>
        <w:r w:rsidR="00F37ECF">
          <w:rPr>
            <w:noProof/>
            <w:webHidden/>
          </w:rPr>
          <w:fldChar w:fldCharType="end"/>
        </w:r>
      </w:hyperlink>
    </w:p>
    <w:p w14:paraId="18AA0C79" w14:textId="4985EB7F"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75" w:history="1">
        <w:r w:rsidR="00F37ECF" w:rsidRPr="00250F63">
          <w:rPr>
            <w:rStyle w:val="Hyperlink"/>
            <w:rFonts w:cs="Arial"/>
            <w:noProof/>
          </w:rPr>
          <w:t>6.4.1</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Step 1: Multi-Project Connections (Figure 8)</w:t>
        </w:r>
        <w:r w:rsidR="00F37ECF">
          <w:rPr>
            <w:noProof/>
            <w:webHidden/>
          </w:rPr>
          <w:tab/>
        </w:r>
        <w:r w:rsidR="00F37ECF">
          <w:rPr>
            <w:noProof/>
            <w:webHidden/>
          </w:rPr>
          <w:fldChar w:fldCharType="begin"/>
        </w:r>
        <w:r w:rsidR="00F37ECF">
          <w:rPr>
            <w:noProof/>
            <w:webHidden/>
          </w:rPr>
          <w:instrText xml:space="preserve"> PAGEREF _Toc158376375 \h </w:instrText>
        </w:r>
        <w:r w:rsidR="00F37ECF">
          <w:rPr>
            <w:noProof/>
            <w:webHidden/>
          </w:rPr>
        </w:r>
        <w:r w:rsidR="00F37ECF">
          <w:rPr>
            <w:noProof/>
            <w:webHidden/>
          </w:rPr>
          <w:fldChar w:fldCharType="separate"/>
        </w:r>
        <w:r w:rsidR="00F37ECF">
          <w:rPr>
            <w:noProof/>
            <w:webHidden/>
          </w:rPr>
          <w:t>32</w:t>
        </w:r>
        <w:r w:rsidR="00F37ECF">
          <w:rPr>
            <w:noProof/>
            <w:webHidden/>
          </w:rPr>
          <w:fldChar w:fldCharType="end"/>
        </w:r>
      </w:hyperlink>
    </w:p>
    <w:p w14:paraId="4EAD316F" w14:textId="74BE5F9B"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76" w:history="1">
        <w:r w:rsidR="00F37ECF" w:rsidRPr="00250F63">
          <w:rPr>
            <w:rStyle w:val="Hyperlink"/>
            <w:rFonts w:cs="Arial"/>
            <w:noProof/>
          </w:rPr>
          <w:t>6.4.2</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Step 2: Regional Connections (Figure 9)</w:t>
        </w:r>
        <w:r w:rsidR="00F37ECF">
          <w:rPr>
            <w:noProof/>
            <w:webHidden/>
          </w:rPr>
          <w:tab/>
        </w:r>
        <w:r w:rsidR="00F37ECF">
          <w:rPr>
            <w:noProof/>
            <w:webHidden/>
          </w:rPr>
          <w:fldChar w:fldCharType="begin"/>
        </w:r>
        <w:r w:rsidR="00F37ECF">
          <w:rPr>
            <w:noProof/>
            <w:webHidden/>
          </w:rPr>
          <w:instrText xml:space="preserve"> PAGEREF _Toc158376376 \h </w:instrText>
        </w:r>
        <w:r w:rsidR="00F37ECF">
          <w:rPr>
            <w:noProof/>
            <w:webHidden/>
          </w:rPr>
        </w:r>
        <w:r w:rsidR="00F37ECF">
          <w:rPr>
            <w:noProof/>
            <w:webHidden/>
          </w:rPr>
          <w:fldChar w:fldCharType="separate"/>
        </w:r>
        <w:r w:rsidR="00F37ECF">
          <w:rPr>
            <w:noProof/>
            <w:webHidden/>
          </w:rPr>
          <w:t>33</w:t>
        </w:r>
        <w:r w:rsidR="00F37ECF">
          <w:rPr>
            <w:noProof/>
            <w:webHidden/>
          </w:rPr>
          <w:fldChar w:fldCharType="end"/>
        </w:r>
      </w:hyperlink>
    </w:p>
    <w:p w14:paraId="654E40FE" w14:textId="4E6D90DF" w:rsidR="00F37ECF" w:rsidRDefault="00000000">
      <w:pPr>
        <w:pStyle w:val="TOC3"/>
        <w:tabs>
          <w:tab w:val="left" w:pos="1320"/>
          <w:tab w:val="right" w:leader="dot" w:pos="9350"/>
        </w:tabs>
        <w:rPr>
          <w:rFonts w:asciiTheme="minorHAnsi" w:eastAsiaTheme="minorEastAsia" w:hAnsiTheme="minorHAnsi"/>
          <w:noProof/>
          <w:color w:val="auto"/>
          <w:kern w:val="2"/>
          <w:sz w:val="22"/>
          <w14:ligatures w14:val="standardContextual"/>
        </w:rPr>
      </w:pPr>
      <w:hyperlink w:anchor="_Toc158376377" w:history="1">
        <w:r w:rsidR="00F37ECF" w:rsidRPr="00250F63">
          <w:rPr>
            <w:rStyle w:val="Hyperlink"/>
            <w:rFonts w:cs="Arial"/>
            <w:noProof/>
          </w:rPr>
          <w:t>6.4.3</w:t>
        </w:r>
        <w:r w:rsidR="00F37ECF">
          <w:rPr>
            <w:rFonts w:asciiTheme="minorHAnsi" w:eastAsiaTheme="minorEastAsia" w:hAnsiTheme="minorHAnsi"/>
            <w:noProof/>
            <w:color w:val="auto"/>
            <w:kern w:val="2"/>
            <w:sz w:val="22"/>
            <w14:ligatures w14:val="standardContextual"/>
          </w:rPr>
          <w:tab/>
        </w:r>
        <w:r w:rsidR="00F37ECF" w:rsidRPr="00250F63">
          <w:rPr>
            <w:rStyle w:val="Hyperlink"/>
            <w:noProof/>
          </w:rPr>
          <w:t>Step 3: Interregional Connections (Figure 10)</w:t>
        </w:r>
        <w:r w:rsidR="00F37ECF">
          <w:rPr>
            <w:noProof/>
            <w:webHidden/>
          </w:rPr>
          <w:tab/>
        </w:r>
        <w:r w:rsidR="00F37ECF">
          <w:rPr>
            <w:noProof/>
            <w:webHidden/>
          </w:rPr>
          <w:fldChar w:fldCharType="begin"/>
        </w:r>
        <w:r w:rsidR="00F37ECF">
          <w:rPr>
            <w:noProof/>
            <w:webHidden/>
          </w:rPr>
          <w:instrText xml:space="preserve"> PAGEREF _Toc158376377 \h </w:instrText>
        </w:r>
        <w:r w:rsidR="00F37ECF">
          <w:rPr>
            <w:noProof/>
            <w:webHidden/>
          </w:rPr>
        </w:r>
        <w:r w:rsidR="00F37ECF">
          <w:rPr>
            <w:noProof/>
            <w:webHidden/>
          </w:rPr>
          <w:fldChar w:fldCharType="separate"/>
        </w:r>
        <w:r w:rsidR="00F37ECF">
          <w:rPr>
            <w:noProof/>
            <w:webHidden/>
          </w:rPr>
          <w:t>33</w:t>
        </w:r>
        <w:r w:rsidR="00F37ECF">
          <w:rPr>
            <w:noProof/>
            <w:webHidden/>
          </w:rPr>
          <w:fldChar w:fldCharType="end"/>
        </w:r>
      </w:hyperlink>
    </w:p>
    <w:p w14:paraId="06205008" w14:textId="54979A7C" w:rsidR="00F37ECF" w:rsidRDefault="00000000">
      <w:pPr>
        <w:pStyle w:val="TOC1"/>
        <w:tabs>
          <w:tab w:val="left" w:pos="440"/>
          <w:tab w:val="right" w:leader="dot" w:pos="9350"/>
        </w:tabs>
        <w:rPr>
          <w:rFonts w:asciiTheme="minorHAnsi" w:eastAsiaTheme="minorEastAsia" w:hAnsiTheme="minorHAnsi"/>
          <w:b w:val="0"/>
          <w:noProof/>
          <w:color w:val="auto"/>
          <w:kern w:val="2"/>
          <w14:ligatures w14:val="standardContextual"/>
        </w:rPr>
      </w:pPr>
      <w:hyperlink w:anchor="_Toc158376378" w:history="1">
        <w:r w:rsidR="00F37ECF" w:rsidRPr="00250F63">
          <w:rPr>
            <w:rStyle w:val="Hyperlink"/>
            <w:noProof/>
          </w:rPr>
          <w:t>7</w:t>
        </w:r>
        <w:r w:rsidR="00F37ECF">
          <w:rPr>
            <w:rFonts w:asciiTheme="minorHAnsi" w:eastAsiaTheme="minorEastAsia" w:hAnsiTheme="minorHAnsi"/>
            <w:b w:val="0"/>
            <w:noProof/>
            <w:color w:val="auto"/>
            <w:kern w:val="2"/>
            <w14:ligatures w14:val="standardContextual"/>
          </w:rPr>
          <w:tab/>
        </w:r>
        <w:r w:rsidR="00F37ECF" w:rsidRPr="00250F63">
          <w:rPr>
            <w:rStyle w:val="Hyperlink"/>
            <w:noProof/>
          </w:rPr>
          <w:t>Project Bibliography and Report References</w:t>
        </w:r>
        <w:r w:rsidR="00F37ECF">
          <w:rPr>
            <w:noProof/>
            <w:webHidden/>
          </w:rPr>
          <w:tab/>
        </w:r>
        <w:r w:rsidR="00F37ECF">
          <w:rPr>
            <w:noProof/>
            <w:webHidden/>
          </w:rPr>
          <w:fldChar w:fldCharType="begin"/>
        </w:r>
        <w:r w:rsidR="00F37ECF">
          <w:rPr>
            <w:noProof/>
            <w:webHidden/>
          </w:rPr>
          <w:instrText xml:space="preserve"> PAGEREF _Toc158376378 \h </w:instrText>
        </w:r>
        <w:r w:rsidR="00F37ECF">
          <w:rPr>
            <w:noProof/>
            <w:webHidden/>
          </w:rPr>
        </w:r>
        <w:r w:rsidR="00F37ECF">
          <w:rPr>
            <w:noProof/>
            <w:webHidden/>
          </w:rPr>
          <w:fldChar w:fldCharType="separate"/>
        </w:r>
        <w:r w:rsidR="00F37ECF">
          <w:rPr>
            <w:noProof/>
            <w:webHidden/>
          </w:rPr>
          <w:t>34</w:t>
        </w:r>
        <w:r w:rsidR="00F37ECF">
          <w:rPr>
            <w:noProof/>
            <w:webHidden/>
          </w:rPr>
          <w:fldChar w:fldCharType="end"/>
        </w:r>
      </w:hyperlink>
    </w:p>
    <w:p w14:paraId="66DDFE8A" w14:textId="20AAEAC5" w:rsidR="005E3686" w:rsidRPr="00D760A1" w:rsidRDefault="005E3686" w:rsidP="005E3686">
      <w:pPr>
        <w:rPr>
          <w:rFonts w:cs="Arial"/>
        </w:rPr>
      </w:pPr>
      <w:r w:rsidRPr="001F211C">
        <w:rPr>
          <w:rFonts w:cs="Arial"/>
        </w:rPr>
        <w:fldChar w:fldCharType="end"/>
      </w:r>
    </w:p>
    <w:p w14:paraId="6D7AE80B" w14:textId="77777777" w:rsidR="005E3686" w:rsidRDefault="005E3686" w:rsidP="005E3686"/>
    <w:p w14:paraId="1F24EE20" w14:textId="77777777" w:rsidR="005E3686" w:rsidRDefault="005E3686" w:rsidP="005E3686"/>
    <w:p w14:paraId="66D00C7A" w14:textId="7959F434" w:rsidR="005E3686" w:rsidRPr="007B6FEB" w:rsidRDefault="005E3686" w:rsidP="005E3686">
      <w:pPr>
        <w:pStyle w:val="BodyText"/>
      </w:pPr>
      <w:r w:rsidRPr="007B6FEB">
        <w:br w:type="page"/>
      </w:r>
    </w:p>
    <w:p w14:paraId="567B8FC4" w14:textId="0AFA76D0" w:rsidR="005E3686" w:rsidRDefault="005E3686" w:rsidP="005E3686">
      <w:pPr>
        <w:pStyle w:val="Heading1NoNumber"/>
      </w:pPr>
      <w:bookmarkStart w:id="29" w:name="_Toc158376348"/>
      <w:r>
        <w:lastRenderedPageBreak/>
        <w:t>List of Figures</w:t>
      </w:r>
      <w:bookmarkEnd w:id="29"/>
      <w:r>
        <w:t xml:space="preserve"> </w:t>
      </w:r>
    </w:p>
    <w:p w14:paraId="607CC6F3" w14:textId="5ABC61F3" w:rsidR="00F37ECF" w:rsidRDefault="005E3686">
      <w:pPr>
        <w:pStyle w:val="TableofFigures"/>
        <w:tabs>
          <w:tab w:val="right" w:leader="dot" w:pos="9350"/>
        </w:tabs>
        <w:rPr>
          <w:rFonts w:asciiTheme="minorHAnsi" w:hAnsiTheme="minorHAnsi"/>
          <w:noProof/>
          <w:color w:val="auto"/>
          <w:kern w:val="2"/>
          <w14:ligatures w14:val="standardContextual"/>
        </w:rPr>
      </w:pPr>
      <w:r>
        <w:fldChar w:fldCharType="begin"/>
      </w:r>
      <w:r>
        <w:instrText xml:space="preserve"> TOC \h \z \c "Figure" </w:instrText>
      </w:r>
      <w:r>
        <w:fldChar w:fldCharType="separate"/>
      </w:r>
      <w:hyperlink w:anchor="_Toc158376232" w:history="1">
        <w:r w:rsidR="00F37ECF" w:rsidRPr="00686F56">
          <w:rPr>
            <w:rStyle w:val="Hyperlink"/>
            <w:noProof/>
          </w:rPr>
          <w:t>Figure 1. Illustration of integrated use of three-model transmission design approach.</w:t>
        </w:r>
        <w:r w:rsidR="00F37ECF">
          <w:rPr>
            <w:noProof/>
            <w:webHidden/>
          </w:rPr>
          <w:tab/>
        </w:r>
        <w:r w:rsidR="00F37ECF">
          <w:rPr>
            <w:noProof/>
            <w:webHidden/>
          </w:rPr>
          <w:fldChar w:fldCharType="begin"/>
        </w:r>
        <w:r w:rsidR="00F37ECF">
          <w:rPr>
            <w:noProof/>
            <w:webHidden/>
          </w:rPr>
          <w:instrText xml:space="preserve"> PAGEREF _Toc158376232 \h </w:instrText>
        </w:r>
        <w:r w:rsidR="00F37ECF">
          <w:rPr>
            <w:noProof/>
            <w:webHidden/>
          </w:rPr>
        </w:r>
        <w:r w:rsidR="00F37ECF">
          <w:rPr>
            <w:noProof/>
            <w:webHidden/>
          </w:rPr>
          <w:fldChar w:fldCharType="separate"/>
        </w:r>
        <w:r w:rsidR="00F37ECF">
          <w:rPr>
            <w:noProof/>
            <w:webHidden/>
          </w:rPr>
          <w:t>8</w:t>
        </w:r>
        <w:r w:rsidR="00F37ECF">
          <w:rPr>
            <w:noProof/>
            <w:webHidden/>
          </w:rPr>
          <w:fldChar w:fldCharType="end"/>
        </w:r>
      </w:hyperlink>
    </w:p>
    <w:p w14:paraId="2DE94AB2" w14:textId="3B833AE9"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33" w:history="1">
        <w:r w:rsidR="00F37ECF" w:rsidRPr="00686F56">
          <w:rPr>
            <w:rStyle w:val="Hyperlink"/>
            <w:noProof/>
          </w:rPr>
          <w:t>Figure 2. Typical high voltage test facility.</w:t>
        </w:r>
        <w:r w:rsidR="00F37ECF">
          <w:rPr>
            <w:noProof/>
            <w:webHidden/>
          </w:rPr>
          <w:tab/>
        </w:r>
        <w:r w:rsidR="00F37ECF">
          <w:rPr>
            <w:noProof/>
            <w:webHidden/>
          </w:rPr>
          <w:fldChar w:fldCharType="begin"/>
        </w:r>
        <w:r w:rsidR="00F37ECF">
          <w:rPr>
            <w:noProof/>
            <w:webHidden/>
          </w:rPr>
          <w:instrText xml:space="preserve"> PAGEREF _Toc158376233 \h </w:instrText>
        </w:r>
        <w:r w:rsidR="00F37ECF">
          <w:rPr>
            <w:noProof/>
            <w:webHidden/>
          </w:rPr>
        </w:r>
        <w:r w:rsidR="00F37ECF">
          <w:rPr>
            <w:noProof/>
            <w:webHidden/>
          </w:rPr>
          <w:fldChar w:fldCharType="separate"/>
        </w:r>
        <w:r w:rsidR="00F37ECF">
          <w:rPr>
            <w:noProof/>
            <w:webHidden/>
          </w:rPr>
          <w:t>9</w:t>
        </w:r>
        <w:r w:rsidR="00F37ECF">
          <w:rPr>
            <w:noProof/>
            <w:webHidden/>
          </w:rPr>
          <w:fldChar w:fldCharType="end"/>
        </w:r>
      </w:hyperlink>
    </w:p>
    <w:p w14:paraId="69E35026" w14:textId="6A2AB7B2"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34" w:history="1">
        <w:r w:rsidR="00F37ECF" w:rsidRPr="00686F56">
          <w:rPr>
            <w:rStyle w:val="Hyperlink"/>
            <w:noProof/>
          </w:rPr>
          <w:t>Figure 3. Project organizational chart.</w:t>
        </w:r>
        <w:r w:rsidR="00F37ECF">
          <w:rPr>
            <w:noProof/>
            <w:webHidden/>
          </w:rPr>
          <w:tab/>
        </w:r>
        <w:r w:rsidR="00F37ECF">
          <w:rPr>
            <w:noProof/>
            <w:webHidden/>
          </w:rPr>
          <w:fldChar w:fldCharType="begin"/>
        </w:r>
        <w:r w:rsidR="00F37ECF">
          <w:rPr>
            <w:noProof/>
            <w:webHidden/>
          </w:rPr>
          <w:instrText xml:space="preserve"> PAGEREF _Toc158376234 \h </w:instrText>
        </w:r>
        <w:r w:rsidR="00F37ECF">
          <w:rPr>
            <w:noProof/>
            <w:webHidden/>
          </w:rPr>
        </w:r>
        <w:r w:rsidR="00F37ECF">
          <w:rPr>
            <w:noProof/>
            <w:webHidden/>
          </w:rPr>
          <w:fldChar w:fldCharType="separate"/>
        </w:r>
        <w:r w:rsidR="00F37ECF">
          <w:rPr>
            <w:noProof/>
            <w:webHidden/>
          </w:rPr>
          <w:t>10</w:t>
        </w:r>
        <w:r w:rsidR="00F37ECF">
          <w:rPr>
            <w:noProof/>
            <w:webHidden/>
          </w:rPr>
          <w:fldChar w:fldCharType="end"/>
        </w:r>
      </w:hyperlink>
    </w:p>
    <w:p w14:paraId="5086B891" w14:textId="3E569F9D"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35" w:history="1">
        <w:r w:rsidR="00F37ECF" w:rsidRPr="00686F56">
          <w:rPr>
            <w:rStyle w:val="Hyperlink"/>
            <w:noProof/>
          </w:rPr>
          <w:t>Figure 4. TenneT 2 GW offshore HVDC grid connected system.</w:t>
        </w:r>
        <w:r w:rsidR="00F37ECF">
          <w:rPr>
            <w:noProof/>
            <w:webHidden/>
          </w:rPr>
          <w:tab/>
        </w:r>
        <w:r w:rsidR="00F37ECF">
          <w:rPr>
            <w:noProof/>
            <w:webHidden/>
          </w:rPr>
          <w:fldChar w:fldCharType="begin"/>
        </w:r>
        <w:r w:rsidR="00F37ECF">
          <w:rPr>
            <w:noProof/>
            <w:webHidden/>
          </w:rPr>
          <w:instrText xml:space="preserve"> PAGEREF _Toc158376235 \h </w:instrText>
        </w:r>
        <w:r w:rsidR="00F37ECF">
          <w:rPr>
            <w:noProof/>
            <w:webHidden/>
          </w:rPr>
        </w:r>
        <w:r w:rsidR="00F37ECF">
          <w:rPr>
            <w:noProof/>
            <w:webHidden/>
          </w:rPr>
          <w:fldChar w:fldCharType="separate"/>
        </w:r>
        <w:r w:rsidR="00F37ECF">
          <w:rPr>
            <w:noProof/>
            <w:webHidden/>
          </w:rPr>
          <w:t>21</w:t>
        </w:r>
        <w:r w:rsidR="00F37ECF">
          <w:rPr>
            <w:noProof/>
            <w:webHidden/>
          </w:rPr>
          <w:fldChar w:fldCharType="end"/>
        </w:r>
      </w:hyperlink>
    </w:p>
    <w:p w14:paraId="5B6368B1" w14:textId="6BA01FE3"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36" w:history="1">
        <w:r w:rsidR="00F37ECF" w:rsidRPr="00686F56">
          <w:rPr>
            <w:rStyle w:val="Hyperlink"/>
            <w:noProof/>
          </w:rPr>
          <w:t>Figure 5. 2-GW Bi-pole HVDC system.</w:t>
        </w:r>
        <w:r w:rsidR="00F37ECF">
          <w:rPr>
            <w:noProof/>
            <w:webHidden/>
          </w:rPr>
          <w:tab/>
        </w:r>
        <w:r w:rsidR="00F37ECF">
          <w:rPr>
            <w:noProof/>
            <w:webHidden/>
          </w:rPr>
          <w:fldChar w:fldCharType="begin"/>
        </w:r>
        <w:r w:rsidR="00F37ECF">
          <w:rPr>
            <w:noProof/>
            <w:webHidden/>
          </w:rPr>
          <w:instrText xml:space="preserve"> PAGEREF _Toc158376236 \h </w:instrText>
        </w:r>
        <w:r w:rsidR="00F37ECF">
          <w:rPr>
            <w:noProof/>
            <w:webHidden/>
          </w:rPr>
        </w:r>
        <w:r w:rsidR="00F37ECF">
          <w:rPr>
            <w:noProof/>
            <w:webHidden/>
          </w:rPr>
          <w:fldChar w:fldCharType="separate"/>
        </w:r>
        <w:r w:rsidR="00F37ECF">
          <w:rPr>
            <w:noProof/>
            <w:webHidden/>
          </w:rPr>
          <w:t>23</w:t>
        </w:r>
        <w:r w:rsidR="00F37ECF">
          <w:rPr>
            <w:noProof/>
            <w:webHidden/>
          </w:rPr>
          <w:fldChar w:fldCharType="end"/>
        </w:r>
      </w:hyperlink>
    </w:p>
    <w:p w14:paraId="0FB43C39" w14:textId="4EE0FCBC"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37" w:history="1">
        <w:r w:rsidR="00F37ECF" w:rsidRPr="00686F56">
          <w:rPr>
            <w:rStyle w:val="Hyperlink"/>
            <w:noProof/>
          </w:rPr>
          <w:t>Figure 6. Existing research and testing facility at Clemson University in North Charleston, SC [14].</w:t>
        </w:r>
        <w:r w:rsidR="00F37ECF">
          <w:rPr>
            <w:noProof/>
            <w:webHidden/>
          </w:rPr>
          <w:tab/>
        </w:r>
        <w:r w:rsidR="00F37ECF">
          <w:rPr>
            <w:noProof/>
            <w:webHidden/>
          </w:rPr>
          <w:fldChar w:fldCharType="begin"/>
        </w:r>
        <w:r w:rsidR="00F37ECF">
          <w:rPr>
            <w:noProof/>
            <w:webHidden/>
          </w:rPr>
          <w:instrText xml:space="preserve"> PAGEREF _Toc158376237 \h </w:instrText>
        </w:r>
        <w:r w:rsidR="00F37ECF">
          <w:rPr>
            <w:noProof/>
            <w:webHidden/>
          </w:rPr>
        </w:r>
        <w:r w:rsidR="00F37ECF">
          <w:rPr>
            <w:noProof/>
            <w:webHidden/>
          </w:rPr>
          <w:fldChar w:fldCharType="separate"/>
        </w:r>
        <w:r w:rsidR="00F37ECF">
          <w:rPr>
            <w:noProof/>
            <w:webHidden/>
          </w:rPr>
          <w:t>24</w:t>
        </w:r>
        <w:r w:rsidR="00F37ECF">
          <w:rPr>
            <w:noProof/>
            <w:webHidden/>
          </w:rPr>
          <w:fldChar w:fldCharType="end"/>
        </w:r>
      </w:hyperlink>
    </w:p>
    <w:p w14:paraId="10771C18" w14:textId="1B54BE70"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38" w:history="1">
        <w:r w:rsidR="00F37ECF" w:rsidRPr="00686F56">
          <w:rPr>
            <w:rStyle w:val="Hyperlink"/>
            <w:noProof/>
          </w:rPr>
          <w:t>Figure 7. P-HIL System Application.</w:t>
        </w:r>
        <w:r w:rsidR="00F37ECF">
          <w:rPr>
            <w:noProof/>
            <w:webHidden/>
          </w:rPr>
          <w:tab/>
        </w:r>
        <w:r w:rsidR="00F37ECF">
          <w:rPr>
            <w:noProof/>
            <w:webHidden/>
          </w:rPr>
          <w:fldChar w:fldCharType="begin"/>
        </w:r>
        <w:r w:rsidR="00F37ECF">
          <w:rPr>
            <w:noProof/>
            <w:webHidden/>
          </w:rPr>
          <w:instrText xml:space="preserve"> PAGEREF _Toc158376238 \h </w:instrText>
        </w:r>
        <w:r w:rsidR="00F37ECF">
          <w:rPr>
            <w:noProof/>
            <w:webHidden/>
          </w:rPr>
        </w:r>
        <w:r w:rsidR="00F37ECF">
          <w:rPr>
            <w:noProof/>
            <w:webHidden/>
          </w:rPr>
          <w:fldChar w:fldCharType="separate"/>
        </w:r>
        <w:r w:rsidR="00F37ECF">
          <w:rPr>
            <w:noProof/>
            <w:webHidden/>
          </w:rPr>
          <w:t>26</w:t>
        </w:r>
        <w:r w:rsidR="00F37ECF">
          <w:rPr>
            <w:noProof/>
            <w:webHidden/>
          </w:rPr>
          <w:fldChar w:fldCharType="end"/>
        </w:r>
      </w:hyperlink>
    </w:p>
    <w:p w14:paraId="447D7FD6" w14:textId="5854B632"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39" w:history="1">
        <w:r w:rsidR="00F37ECF" w:rsidRPr="00686F56">
          <w:rPr>
            <w:rStyle w:val="Hyperlink"/>
            <w:noProof/>
          </w:rPr>
          <w:t>Figure 8. Step 1: Multi-Project Connections.</w:t>
        </w:r>
        <w:r w:rsidR="00F37ECF">
          <w:rPr>
            <w:noProof/>
            <w:webHidden/>
          </w:rPr>
          <w:tab/>
        </w:r>
        <w:r w:rsidR="00F37ECF">
          <w:rPr>
            <w:noProof/>
            <w:webHidden/>
          </w:rPr>
          <w:fldChar w:fldCharType="begin"/>
        </w:r>
        <w:r w:rsidR="00F37ECF">
          <w:rPr>
            <w:noProof/>
            <w:webHidden/>
          </w:rPr>
          <w:instrText xml:space="preserve"> PAGEREF _Toc158376239 \h </w:instrText>
        </w:r>
        <w:r w:rsidR="00F37ECF">
          <w:rPr>
            <w:noProof/>
            <w:webHidden/>
          </w:rPr>
        </w:r>
        <w:r w:rsidR="00F37ECF">
          <w:rPr>
            <w:noProof/>
            <w:webHidden/>
          </w:rPr>
          <w:fldChar w:fldCharType="separate"/>
        </w:r>
        <w:r w:rsidR="00F37ECF">
          <w:rPr>
            <w:noProof/>
            <w:webHidden/>
          </w:rPr>
          <w:t>31</w:t>
        </w:r>
        <w:r w:rsidR="00F37ECF">
          <w:rPr>
            <w:noProof/>
            <w:webHidden/>
          </w:rPr>
          <w:fldChar w:fldCharType="end"/>
        </w:r>
      </w:hyperlink>
    </w:p>
    <w:p w14:paraId="1D9E1AA6" w14:textId="34FF9957"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40" w:history="1">
        <w:r w:rsidR="00F37ECF" w:rsidRPr="00686F56">
          <w:rPr>
            <w:rStyle w:val="Hyperlink"/>
            <w:noProof/>
          </w:rPr>
          <w:t>Figure 9. Step 2: Regional Connections.</w:t>
        </w:r>
        <w:r w:rsidR="00F37ECF">
          <w:rPr>
            <w:noProof/>
            <w:webHidden/>
          </w:rPr>
          <w:tab/>
        </w:r>
        <w:r w:rsidR="00F37ECF">
          <w:rPr>
            <w:noProof/>
            <w:webHidden/>
          </w:rPr>
          <w:fldChar w:fldCharType="begin"/>
        </w:r>
        <w:r w:rsidR="00F37ECF">
          <w:rPr>
            <w:noProof/>
            <w:webHidden/>
          </w:rPr>
          <w:instrText xml:space="preserve"> PAGEREF _Toc158376240 \h </w:instrText>
        </w:r>
        <w:r w:rsidR="00F37ECF">
          <w:rPr>
            <w:noProof/>
            <w:webHidden/>
          </w:rPr>
        </w:r>
        <w:r w:rsidR="00F37ECF">
          <w:rPr>
            <w:noProof/>
            <w:webHidden/>
          </w:rPr>
          <w:fldChar w:fldCharType="separate"/>
        </w:r>
        <w:r w:rsidR="00F37ECF">
          <w:rPr>
            <w:noProof/>
            <w:webHidden/>
          </w:rPr>
          <w:t>31</w:t>
        </w:r>
        <w:r w:rsidR="00F37ECF">
          <w:rPr>
            <w:noProof/>
            <w:webHidden/>
          </w:rPr>
          <w:fldChar w:fldCharType="end"/>
        </w:r>
      </w:hyperlink>
    </w:p>
    <w:p w14:paraId="557106FA" w14:textId="198AE6B0"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241" w:history="1">
        <w:r w:rsidR="00F37ECF" w:rsidRPr="00686F56">
          <w:rPr>
            <w:rStyle w:val="Hyperlink"/>
            <w:noProof/>
          </w:rPr>
          <w:t>Figure 10. Step 3. Interregional Connections.</w:t>
        </w:r>
        <w:r w:rsidR="00F37ECF">
          <w:rPr>
            <w:noProof/>
            <w:webHidden/>
          </w:rPr>
          <w:tab/>
        </w:r>
        <w:r w:rsidR="00F37ECF">
          <w:rPr>
            <w:noProof/>
            <w:webHidden/>
          </w:rPr>
          <w:fldChar w:fldCharType="begin"/>
        </w:r>
        <w:r w:rsidR="00F37ECF">
          <w:rPr>
            <w:noProof/>
            <w:webHidden/>
          </w:rPr>
          <w:instrText xml:space="preserve"> PAGEREF _Toc158376241 \h </w:instrText>
        </w:r>
        <w:r w:rsidR="00F37ECF">
          <w:rPr>
            <w:noProof/>
            <w:webHidden/>
          </w:rPr>
        </w:r>
        <w:r w:rsidR="00F37ECF">
          <w:rPr>
            <w:noProof/>
            <w:webHidden/>
          </w:rPr>
          <w:fldChar w:fldCharType="separate"/>
        </w:r>
        <w:r w:rsidR="00F37ECF">
          <w:rPr>
            <w:noProof/>
            <w:webHidden/>
          </w:rPr>
          <w:t>31</w:t>
        </w:r>
        <w:r w:rsidR="00F37ECF">
          <w:rPr>
            <w:noProof/>
            <w:webHidden/>
          </w:rPr>
          <w:fldChar w:fldCharType="end"/>
        </w:r>
      </w:hyperlink>
    </w:p>
    <w:p w14:paraId="6FFF5A0C" w14:textId="6C259942" w:rsidR="005E3686" w:rsidRDefault="005E3686" w:rsidP="005E3686">
      <w:r>
        <w:fldChar w:fldCharType="end"/>
      </w:r>
    </w:p>
    <w:p w14:paraId="322E80E3" w14:textId="77777777" w:rsidR="005E3686" w:rsidRDefault="005E3686" w:rsidP="005E3686"/>
    <w:p w14:paraId="3D134820" w14:textId="77777777" w:rsidR="005E3686" w:rsidRDefault="005E3686" w:rsidP="005E3686">
      <w:pPr>
        <w:pStyle w:val="Heading1NoNumber"/>
      </w:pPr>
      <w:bookmarkStart w:id="30" w:name="_Toc158376349"/>
      <w:r>
        <w:t>List of Tables</w:t>
      </w:r>
      <w:bookmarkEnd w:id="30"/>
    </w:p>
    <w:p w14:paraId="6F00BE15" w14:textId="0BDDF7EE" w:rsidR="00F37ECF" w:rsidRDefault="005E3686">
      <w:pPr>
        <w:pStyle w:val="TableofFigures"/>
        <w:tabs>
          <w:tab w:val="right" w:leader="dot" w:pos="9350"/>
        </w:tabs>
        <w:rPr>
          <w:rFonts w:asciiTheme="minorHAnsi" w:hAnsiTheme="minorHAnsi"/>
          <w:noProof/>
          <w:color w:val="auto"/>
          <w:kern w:val="2"/>
          <w14:ligatures w14:val="standardContextual"/>
        </w:rPr>
      </w:pPr>
      <w:r>
        <w:fldChar w:fldCharType="begin"/>
      </w:r>
      <w:r>
        <w:instrText xml:space="preserve"> TOC \h \z \c "Table" </w:instrText>
      </w:r>
      <w:r>
        <w:fldChar w:fldCharType="separate"/>
      </w:r>
      <w:hyperlink w:anchor="_Toc158376303" w:history="1">
        <w:r w:rsidR="00F37ECF" w:rsidRPr="0094747B">
          <w:rPr>
            <w:rStyle w:val="Hyperlink"/>
            <w:noProof/>
          </w:rPr>
          <w:t>Table 1. Summary of the three power systems models developed for this study.</w:t>
        </w:r>
        <w:r w:rsidR="00F37ECF">
          <w:rPr>
            <w:noProof/>
            <w:webHidden/>
          </w:rPr>
          <w:tab/>
        </w:r>
        <w:r w:rsidR="00F37ECF">
          <w:rPr>
            <w:noProof/>
            <w:webHidden/>
          </w:rPr>
          <w:fldChar w:fldCharType="begin"/>
        </w:r>
        <w:r w:rsidR="00F37ECF">
          <w:rPr>
            <w:noProof/>
            <w:webHidden/>
          </w:rPr>
          <w:instrText xml:space="preserve"> PAGEREF _Toc158376303 \h </w:instrText>
        </w:r>
        <w:r w:rsidR="00F37ECF">
          <w:rPr>
            <w:noProof/>
            <w:webHidden/>
          </w:rPr>
        </w:r>
        <w:r w:rsidR="00F37ECF">
          <w:rPr>
            <w:noProof/>
            <w:webHidden/>
          </w:rPr>
          <w:fldChar w:fldCharType="separate"/>
        </w:r>
        <w:r w:rsidR="00F37ECF">
          <w:rPr>
            <w:noProof/>
            <w:webHidden/>
          </w:rPr>
          <w:t>8</w:t>
        </w:r>
        <w:r w:rsidR="00F37ECF">
          <w:rPr>
            <w:noProof/>
            <w:webHidden/>
          </w:rPr>
          <w:fldChar w:fldCharType="end"/>
        </w:r>
      </w:hyperlink>
    </w:p>
    <w:p w14:paraId="0A892A09" w14:textId="57FDDBD2"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304" w:history="1">
        <w:r w:rsidR="00F37ECF" w:rsidRPr="0094747B">
          <w:rPr>
            <w:rStyle w:val="Hyperlink"/>
            <w:noProof/>
          </w:rPr>
          <w:t>Table 2. Project personnel</w:t>
        </w:r>
        <w:r w:rsidR="00F37ECF">
          <w:rPr>
            <w:noProof/>
            <w:webHidden/>
          </w:rPr>
          <w:tab/>
        </w:r>
        <w:r w:rsidR="00F37ECF">
          <w:rPr>
            <w:noProof/>
            <w:webHidden/>
          </w:rPr>
          <w:fldChar w:fldCharType="begin"/>
        </w:r>
        <w:r w:rsidR="00F37ECF">
          <w:rPr>
            <w:noProof/>
            <w:webHidden/>
          </w:rPr>
          <w:instrText xml:space="preserve"> PAGEREF _Toc158376304 \h </w:instrText>
        </w:r>
        <w:r w:rsidR="00F37ECF">
          <w:rPr>
            <w:noProof/>
            <w:webHidden/>
          </w:rPr>
        </w:r>
        <w:r w:rsidR="00F37ECF">
          <w:rPr>
            <w:noProof/>
            <w:webHidden/>
          </w:rPr>
          <w:fldChar w:fldCharType="separate"/>
        </w:r>
        <w:r w:rsidR="00F37ECF">
          <w:rPr>
            <w:noProof/>
            <w:webHidden/>
          </w:rPr>
          <w:t>10</w:t>
        </w:r>
        <w:r w:rsidR="00F37ECF">
          <w:rPr>
            <w:noProof/>
            <w:webHidden/>
          </w:rPr>
          <w:fldChar w:fldCharType="end"/>
        </w:r>
      </w:hyperlink>
    </w:p>
    <w:p w14:paraId="4B1E5F3B" w14:textId="774AD451"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305" w:history="1">
        <w:r w:rsidR="00F37ECF" w:rsidRPr="0094747B">
          <w:rPr>
            <w:rStyle w:val="Hyperlink"/>
            <w:noProof/>
          </w:rPr>
          <w:t>Table 3. Project Tasks</w:t>
        </w:r>
        <w:r w:rsidR="00F37ECF">
          <w:rPr>
            <w:noProof/>
            <w:webHidden/>
          </w:rPr>
          <w:tab/>
        </w:r>
        <w:r w:rsidR="00F37ECF">
          <w:rPr>
            <w:noProof/>
            <w:webHidden/>
          </w:rPr>
          <w:fldChar w:fldCharType="begin"/>
        </w:r>
        <w:r w:rsidR="00F37ECF">
          <w:rPr>
            <w:noProof/>
            <w:webHidden/>
          </w:rPr>
          <w:instrText xml:space="preserve"> PAGEREF _Toc158376305 \h </w:instrText>
        </w:r>
        <w:r w:rsidR="00F37ECF">
          <w:rPr>
            <w:noProof/>
            <w:webHidden/>
          </w:rPr>
        </w:r>
        <w:r w:rsidR="00F37ECF">
          <w:rPr>
            <w:noProof/>
            <w:webHidden/>
          </w:rPr>
          <w:fldChar w:fldCharType="separate"/>
        </w:r>
        <w:r w:rsidR="00F37ECF">
          <w:rPr>
            <w:noProof/>
            <w:webHidden/>
          </w:rPr>
          <w:t>11</w:t>
        </w:r>
        <w:r w:rsidR="00F37ECF">
          <w:rPr>
            <w:noProof/>
            <w:webHidden/>
          </w:rPr>
          <w:fldChar w:fldCharType="end"/>
        </w:r>
      </w:hyperlink>
    </w:p>
    <w:p w14:paraId="67382A9B" w14:textId="11AFB1A7"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306" w:history="1">
        <w:r w:rsidR="00F37ECF" w:rsidRPr="0094747B">
          <w:rPr>
            <w:rStyle w:val="Hyperlink"/>
            <w:noProof/>
          </w:rPr>
          <w:t>Table 4. Project Schedule</w:t>
        </w:r>
        <w:r w:rsidR="00F37ECF">
          <w:rPr>
            <w:noProof/>
            <w:webHidden/>
          </w:rPr>
          <w:tab/>
        </w:r>
        <w:r w:rsidR="00F37ECF">
          <w:rPr>
            <w:noProof/>
            <w:webHidden/>
          </w:rPr>
          <w:fldChar w:fldCharType="begin"/>
        </w:r>
        <w:r w:rsidR="00F37ECF">
          <w:rPr>
            <w:noProof/>
            <w:webHidden/>
          </w:rPr>
          <w:instrText xml:space="preserve"> PAGEREF _Toc158376306 \h </w:instrText>
        </w:r>
        <w:r w:rsidR="00F37ECF">
          <w:rPr>
            <w:noProof/>
            <w:webHidden/>
          </w:rPr>
        </w:r>
        <w:r w:rsidR="00F37ECF">
          <w:rPr>
            <w:noProof/>
            <w:webHidden/>
          </w:rPr>
          <w:fldChar w:fldCharType="separate"/>
        </w:r>
        <w:r w:rsidR="00F37ECF">
          <w:rPr>
            <w:noProof/>
            <w:webHidden/>
          </w:rPr>
          <w:t>14</w:t>
        </w:r>
        <w:r w:rsidR="00F37ECF">
          <w:rPr>
            <w:noProof/>
            <w:webHidden/>
          </w:rPr>
          <w:fldChar w:fldCharType="end"/>
        </w:r>
      </w:hyperlink>
    </w:p>
    <w:p w14:paraId="70C763C8" w14:textId="7910A167"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307" w:history="1">
        <w:r w:rsidR="00F37ECF" w:rsidRPr="0094747B">
          <w:rPr>
            <w:rStyle w:val="Hyperlink"/>
            <w:noProof/>
          </w:rPr>
          <w:t>Table 5. Project Deliverables</w:t>
        </w:r>
        <w:r w:rsidR="00F37ECF">
          <w:rPr>
            <w:noProof/>
            <w:webHidden/>
          </w:rPr>
          <w:tab/>
        </w:r>
        <w:r w:rsidR="00F37ECF">
          <w:rPr>
            <w:noProof/>
            <w:webHidden/>
          </w:rPr>
          <w:fldChar w:fldCharType="begin"/>
        </w:r>
        <w:r w:rsidR="00F37ECF">
          <w:rPr>
            <w:noProof/>
            <w:webHidden/>
          </w:rPr>
          <w:instrText xml:space="preserve"> PAGEREF _Toc158376307 \h </w:instrText>
        </w:r>
        <w:r w:rsidR="00F37ECF">
          <w:rPr>
            <w:noProof/>
            <w:webHidden/>
          </w:rPr>
        </w:r>
        <w:r w:rsidR="00F37ECF">
          <w:rPr>
            <w:noProof/>
            <w:webHidden/>
          </w:rPr>
          <w:fldChar w:fldCharType="separate"/>
        </w:r>
        <w:r w:rsidR="00F37ECF">
          <w:rPr>
            <w:noProof/>
            <w:webHidden/>
          </w:rPr>
          <w:t>15</w:t>
        </w:r>
        <w:r w:rsidR="00F37ECF">
          <w:rPr>
            <w:noProof/>
            <w:webHidden/>
          </w:rPr>
          <w:fldChar w:fldCharType="end"/>
        </w:r>
      </w:hyperlink>
    </w:p>
    <w:p w14:paraId="2C4BE9F1" w14:textId="028BC8C1"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308" w:history="1">
        <w:r w:rsidR="00F37ECF" w:rsidRPr="0094747B">
          <w:rPr>
            <w:rStyle w:val="Hyperlink"/>
            <w:noProof/>
          </w:rPr>
          <w:t>Table 6. Project Publications</w:t>
        </w:r>
        <w:r w:rsidR="00F37ECF">
          <w:rPr>
            <w:noProof/>
            <w:webHidden/>
          </w:rPr>
          <w:tab/>
        </w:r>
        <w:r w:rsidR="00F37ECF">
          <w:rPr>
            <w:noProof/>
            <w:webHidden/>
          </w:rPr>
          <w:fldChar w:fldCharType="begin"/>
        </w:r>
        <w:r w:rsidR="00F37ECF">
          <w:rPr>
            <w:noProof/>
            <w:webHidden/>
          </w:rPr>
          <w:instrText xml:space="preserve"> PAGEREF _Toc158376308 \h </w:instrText>
        </w:r>
        <w:r w:rsidR="00F37ECF">
          <w:rPr>
            <w:noProof/>
            <w:webHidden/>
          </w:rPr>
        </w:r>
        <w:r w:rsidR="00F37ECF">
          <w:rPr>
            <w:noProof/>
            <w:webHidden/>
          </w:rPr>
          <w:fldChar w:fldCharType="separate"/>
        </w:r>
        <w:r w:rsidR="00F37ECF">
          <w:rPr>
            <w:noProof/>
            <w:webHidden/>
          </w:rPr>
          <w:t>16</w:t>
        </w:r>
        <w:r w:rsidR="00F37ECF">
          <w:rPr>
            <w:noProof/>
            <w:webHidden/>
          </w:rPr>
          <w:fldChar w:fldCharType="end"/>
        </w:r>
      </w:hyperlink>
    </w:p>
    <w:p w14:paraId="775A86CF" w14:textId="2D0810E9" w:rsidR="00F37ECF" w:rsidRDefault="00000000">
      <w:pPr>
        <w:pStyle w:val="TableofFigures"/>
        <w:tabs>
          <w:tab w:val="right" w:leader="dot" w:pos="9350"/>
        </w:tabs>
        <w:rPr>
          <w:rFonts w:asciiTheme="minorHAnsi" w:hAnsiTheme="minorHAnsi"/>
          <w:noProof/>
          <w:color w:val="auto"/>
          <w:kern w:val="2"/>
          <w14:ligatures w14:val="standardContextual"/>
        </w:rPr>
      </w:pPr>
      <w:hyperlink w:anchor="_Toc158376309" w:history="1">
        <w:r w:rsidR="00F37ECF" w:rsidRPr="0094747B">
          <w:rPr>
            <w:rStyle w:val="Hyperlink"/>
            <w:noProof/>
          </w:rPr>
          <w:t>Table 7. Proposed specifications for MTDC OSG for North America</w:t>
        </w:r>
        <w:r w:rsidR="00F37ECF">
          <w:rPr>
            <w:noProof/>
            <w:webHidden/>
          </w:rPr>
          <w:tab/>
        </w:r>
        <w:r w:rsidR="00F37ECF">
          <w:rPr>
            <w:noProof/>
            <w:webHidden/>
          </w:rPr>
          <w:fldChar w:fldCharType="begin"/>
        </w:r>
        <w:r w:rsidR="00F37ECF">
          <w:rPr>
            <w:noProof/>
            <w:webHidden/>
          </w:rPr>
          <w:instrText xml:space="preserve"> PAGEREF _Toc158376309 \h </w:instrText>
        </w:r>
        <w:r w:rsidR="00F37ECF">
          <w:rPr>
            <w:noProof/>
            <w:webHidden/>
          </w:rPr>
        </w:r>
        <w:r w:rsidR="00F37ECF">
          <w:rPr>
            <w:noProof/>
            <w:webHidden/>
          </w:rPr>
          <w:fldChar w:fldCharType="separate"/>
        </w:r>
        <w:r w:rsidR="00F37ECF">
          <w:rPr>
            <w:noProof/>
            <w:webHidden/>
          </w:rPr>
          <w:t>20</w:t>
        </w:r>
        <w:r w:rsidR="00F37ECF">
          <w:rPr>
            <w:noProof/>
            <w:webHidden/>
          </w:rPr>
          <w:fldChar w:fldCharType="end"/>
        </w:r>
      </w:hyperlink>
    </w:p>
    <w:p w14:paraId="7770BE7A" w14:textId="66F29F3E" w:rsidR="005E3686" w:rsidRDefault="005E3686" w:rsidP="005E3686">
      <w:r>
        <w:fldChar w:fldCharType="end"/>
      </w:r>
    </w:p>
    <w:p w14:paraId="3B48471B" w14:textId="77777777" w:rsidR="005E3686" w:rsidRDefault="005E3686" w:rsidP="005E3686">
      <w:pPr>
        <w:pStyle w:val="TableofFigures"/>
      </w:pPr>
    </w:p>
    <w:p w14:paraId="5EDCA927" w14:textId="77777777" w:rsidR="005E3686" w:rsidRDefault="005E3686" w:rsidP="005E3686"/>
    <w:p w14:paraId="52522EE9" w14:textId="77777777" w:rsidR="005E3686" w:rsidRDefault="005E3686" w:rsidP="005E3686"/>
    <w:p w14:paraId="35DE7025" w14:textId="77777777" w:rsidR="005E3686" w:rsidRDefault="005E3686" w:rsidP="005E3686"/>
    <w:p w14:paraId="31810A91" w14:textId="77777777" w:rsidR="005E3686" w:rsidRDefault="005E3686" w:rsidP="005E3686"/>
    <w:p w14:paraId="3E7F2F52" w14:textId="77777777" w:rsidR="005E3686" w:rsidRDefault="005E3686" w:rsidP="005E3686"/>
    <w:p w14:paraId="3047440B" w14:textId="77777777" w:rsidR="005E3686" w:rsidRDefault="005E3686" w:rsidP="005E3686"/>
    <w:p w14:paraId="390A1903" w14:textId="77777777" w:rsidR="005E3686" w:rsidRDefault="005E3686" w:rsidP="005E3686"/>
    <w:p w14:paraId="58326C71" w14:textId="77777777" w:rsidR="00F37ECF" w:rsidRDefault="00F37ECF">
      <w:pPr>
        <w:rPr>
          <w:rFonts w:eastAsiaTheme="majorEastAsia" w:cstheme="majorBidi"/>
          <w:b/>
          <w:bCs/>
          <w:sz w:val="36"/>
          <w:szCs w:val="28"/>
        </w:rPr>
      </w:pPr>
      <w:bookmarkStart w:id="31" w:name="_Toc362265376"/>
      <w:bookmarkStart w:id="32" w:name="_Toc374366961"/>
      <w:bookmarkStart w:id="33" w:name="_Toc374366891"/>
      <w:bookmarkStart w:id="34" w:name="_Toc365022888"/>
      <w:bookmarkStart w:id="35" w:name="_Toc365022690"/>
      <w:bookmarkStart w:id="36" w:name="_Toc362268773"/>
      <w:bookmarkStart w:id="37" w:name="_Toc362266903"/>
      <w:r>
        <w:br w:type="page"/>
      </w:r>
    </w:p>
    <w:p w14:paraId="6F0235A1" w14:textId="12EAE3D0" w:rsidR="005E3686" w:rsidRPr="007B6FEB" w:rsidRDefault="005E3686" w:rsidP="005E3686">
      <w:pPr>
        <w:pStyle w:val="Heading1NoNumber"/>
      </w:pPr>
      <w:bookmarkStart w:id="38" w:name="_Toc158376350"/>
      <w:r>
        <w:lastRenderedPageBreak/>
        <w:t>Acronyms and Abbreviation</w:t>
      </w:r>
      <w:bookmarkEnd w:id="31"/>
      <w:r>
        <w:t>s</w:t>
      </w:r>
      <w:bookmarkEnd w:id="32"/>
      <w:bookmarkEnd w:id="33"/>
      <w:bookmarkEnd w:id="34"/>
      <w:bookmarkEnd w:id="35"/>
      <w:bookmarkEnd w:id="36"/>
      <w:bookmarkEnd w:id="37"/>
      <w:bookmarkEnd w:id="38"/>
    </w:p>
    <w:p w14:paraId="57FC6B2F" w14:textId="252FEF0D" w:rsidR="00D95F0A" w:rsidRPr="000E3BEC" w:rsidRDefault="00D95F0A" w:rsidP="005320E6">
      <w:pPr>
        <w:pStyle w:val="AA"/>
        <w:spacing w:after="40"/>
        <w:ind w:left="0" w:firstLine="0"/>
        <w:rPr>
          <w:szCs w:val="22"/>
        </w:rPr>
      </w:pPr>
      <w:bookmarkStart w:id="39" w:name="_Toc374366962"/>
      <w:bookmarkStart w:id="40" w:name="_Toc374366892"/>
      <w:bookmarkStart w:id="41" w:name="_Toc365022889"/>
      <w:bookmarkStart w:id="42" w:name="_Toc365022691"/>
      <w:bookmarkStart w:id="43" w:name="_Toc362268774"/>
      <w:bookmarkStart w:id="44" w:name="_Toc362266904"/>
      <w:bookmarkStart w:id="45" w:name="_Toc362265377"/>
      <w:r w:rsidRPr="000E3BEC">
        <w:rPr>
          <w:szCs w:val="22"/>
        </w:rPr>
        <w:t>AEP</w:t>
      </w:r>
      <w:r w:rsidRPr="000E3BEC">
        <w:rPr>
          <w:szCs w:val="22"/>
        </w:rPr>
        <w:tab/>
      </w:r>
      <w:r w:rsidRPr="000E3BEC">
        <w:rPr>
          <w:szCs w:val="22"/>
        </w:rPr>
        <w:tab/>
        <w:t>Adaptive Expansion Planning</w:t>
      </w:r>
    </w:p>
    <w:p w14:paraId="552C46CD" w14:textId="52C12D87" w:rsidR="005320E6" w:rsidRPr="000E3BEC" w:rsidRDefault="005320E6" w:rsidP="005320E6">
      <w:pPr>
        <w:pStyle w:val="AA"/>
        <w:spacing w:after="40"/>
        <w:ind w:left="0" w:firstLine="0"/>
        <w:rPr>
          <w:szCs w:val="22"/>
          <w:lang w:bidi="fa-IR"/>
        </w:rPr>
      </w:pPr>
      <w:r w:rsidRPr="000E3BEC">
        <w:rPr>
          <w:szCs w:val="22"/>
        </w:rPr>
        <w:t>ATB</w:t>
      </w:r>
      <w:r w:rsidRPr="000E3BEC">
        <w:rPr>
          <w:szCs w:val="22"/>
        </w:rPr>
        <w:tab/>
      </w:r>
      <w:r w:rsidRPr="000E3BEC">
        <w:rPr>
          <w:szCs w:val="22"/>
        </w:rPr>
        <w:tab/>
      </w:r>
      <w:r w:rsidRPr="000E3BEC">
        <w:rPr>
          <w:szCs w:val="22"/>
          <w:lang w:bidi="fa-IR"/>
        </w:rPr>
        <w:t>Annual Technology Baseline</w:t>
      </w:r>
    </w:p>
    <w:p w14:paraId="1EA500C3" w14:textId="77777777" w:rsidR="005320E6" w:rsidRPr="000E3BEC" w:rsidRDefault="005320E6" w:rsidP="005320E6">
      <w:pPr>
        <w:pStyle w:val="AA"/>
        <w:spacing w:after="40"/>
        <w:ind w:left="0" w:firstLine="0"/>
        <w:rPr>
          <w:szCs w:val="22"/>
        </w:rPr>
      </w:pPr>
      <w:r w:rsidRPr="000E3BEC">
        <w:rPr>
          <w:szCs w:val="22"/>
          <w:lang w:bidi="fa-IR"/>
        </w:rPr>
        <w:t>BOEM</w:t>
      </w:r>
      <w:r w:rsidRPr="000E3BEC">
        <w:rPr>
          <w:szCs w:val="22"/>
          <w:lang w:bidi="fa-IR"/>
        </w:rPr>
        <w:tab/>
      </w:r>
      <w:r w:rsidRPr="000E3BEC">
        <w:rPr>
          <w:szCs w:val="22"/>
          <w:lang w:bidi="fa-IR"/>
        </w:rPr>
        <w:tab/>
      </w:r>
      <w:r w:rsidRPr="000E3BEC">
        <w:rPr>
          <w:szCs w:val="22"/>
        </w:rPr>
        <w:t>Bureau of Ocean Energy Management</w:t>
      </w:r>
    </w:p>
    <w:p w14:paraId="3B1B0DF6" w14:textId="77777777" w:rsidR="005320E6" w:rsidRPr="000E3BEC" w:rsidRDefault="005320E6" w:rsidP="005320E6">
      <w:pPr>
        <w:pStyle w:val="AA"/>
        <w:spacing w:after="40"/>
        <w:ind w:left="0" w:firstLine="0"/>
        <w:rPr>
          <w:szCs w:val="22"/>
        </w:rPr>
      </w:pPr>
      <w:r w:rsidRPr="000E3BEC">
        <w:rPr>
          <w:szCs w:val="22"/>
        </w:rPr>
        <w:t>CEP</w:t>
      </w:r>
      <w:r w:rsidRPr="000E3BEC">
        <w:rPr>
          <w:szCs w:val="22"/>
        </w:rPr>
        <w:tab/>
      </w:r>
      <w:r w:rsidRPr="000E3BEC">
        <w:rPr>
          <w:szCs w:val="22"/>
        </w:rPr>
        <w:tab/>
        <w:t>Coordinated Expansion Planning</w:t>
      </w:r>
    </w:p>
    <w:p w14:paraId="49709655" w14:textId="028F4DFD" w:rsidR="003402D3" w:rsidRDefault="003402D3" w:rsidP="005320E6">
      <w:pPr>
        <w:pStyle w:val="AA"/>
        <w:spacing w:after="40"/>
        <w:ind w:left="0" w:firstLine="0"/>
        <w:rPr>
          <w:szCs w:val="22"/>
        </w:rPr>
      </w:pPr>
      <w:r>
        <w:rPr>
          <w:szCs w:val="22"/>
        </w:rPr>
        <w:t>CETWG</w:t>
      </w:r>
      <w:r>
        <w:rPr>
          <w:szCs w:val="22"/>
        </w:rPr>
        <w:tab/>
        <w:t>Clean Energy Transmission Working Group (Massachusetts)</w:t>
      </w:r>
    </w:p>
    <w:p w14:paraId="083C5515" w14:textId="709CC64E" w:rsidR="000E3BEC" w:rsidRPr="000E3BEC" w:rsidRDefault="000E3BEC" w:rsidP="005320E6">
      <w:pPr>
        <w:pStyle w:val="AA"/>
        <w:spacing w:after="40"/>
        <w:ind w:left="0" w:firstLine="0"/>
        <w:rPr>
          <w:szCs w:val="22"/>
        </w:rPr>
      </w:pPr>
      <w:r w:rsidRPr="000E3BEC">
        <w:rPr>
          <w:szCs w:val="22"/>
        </w:rPr>
        <w:t>CHP</w:t>
      </w:r>
      <w:r w:rsidRPr="000E3BEC">
        <w:rPr>
          <w:szCs w:val="22"/>
        </w:rPr>
        <w:tab/>
      </w:r>
      <w:r w:rsidRPr="000E3BEC">
        <w:rPr>
          <w:szCs w:val="22"/>
        </w:rPr>
        <w:tab/>
        <w:t>Combined Heat and Power</w:t>
      </w:r>
    </w:p>
    <w:p w14:paraId="17F35708" w14:textId="77777777" w:rsidR="005320E6" w:rsidRPr="000E3BEC" w:rsidRDefault="005320E6" w:rsidP="005320E6">
      <w:pPr>
        <w:pStyle w:val="AA"/>
        <w:spacing w:after="40"/>
        <w:ind w:left="0" w:firstLine="0"/>
        <w:rPr>
          <w:szCs w:val="22"/>
        </w:rPr>
      </w:pPr>
      <w:r w:rsidRPr="000E3BEC">
        <w:rPr>
          <w:szCs w:val="22"/>
        </w:rPr>
        <w:t>CREZ</w:t>
      </w:r>
      <w:r w:rsidRPr="000E3BEC">
        <w:rPr>
          <w:szCs w:val="22"/>
        </w:rPr>
        <w:tab/>
      </w:r>
      <w:r w:rsidRPr="000E3BEC">
        <w:rPr>
          <w:szCs w:val="22"/>
        </w:rPr>
        <w:tab/>
        <w:t>Competitive Renewable Energy Zones</w:t>
      </w:r>
    </w:p>
    <w:p w14:paraId="6D5E9E60" w14:textId="77777777" w:rsidR="005320E6" w:rsidRDefault="005320E6" w:rsidP="005320E6">
      <w:pPr>
        <w:pStyle w:val="AA"/>
        <w:spacing w:after="40"/>
        <w:ind w:left="0" w:firstLine="0"/>
        <w:rPr>
          <w:szCs w:val="22"/>
        </w:rPr>
      </w:pPr>
      <w:r w:rsidRPr="000E3BEC">
        <w:rPr>
          <w:szCs w:val="22"/>
        </w:rPr>
        <w:t>DC</w:t>
      </w:r>
      <w:r w:rsidRPr="000E3BEC">
        <w:rPr>
          <w:szCs w:val="22"/>
        </w:rPr>
        <w:tab/>
      </w:r>
      <w:r w:rsidRPr="000E3BEC">
        <w:rPr>
          <w:szCs w:val="22"/>
        </w:rPr>
        <w:tab/>
        <w:t>Direct Current</w:t>
      </w:r>
    </w:p>
    <w:p w14:paraId="5A99C2FD" w14:textId="4D31EDEF" w:rsidR="009A1205" w:rsidRPr="000E3BEC" w:rsidRDefault="009A1205" w:rsidP="005320E6">
      <w:pPr>
        <w:pStyle w:val="AA"/>
        <w:spacing w:after="40"/>
        <w:ind w:left="0" w:firstLine="0"/>
        <w:rPr>
          <w:szCs w:val="22"/>
        </w:rPr>
      </w:pPr>
      <w:r>
        <w:rPr>
          <w:szCs w:val="22"/>
        </w:rPr>
        <w:t>DOE</w:t>
      </w:r>
      <w:r>
        <w:rPr>
          <w:szCs w:val="22"/>
        </w:rPr>
        <w:tab/>
      </w:r>
      <w:r>
        <w:rPr>
          <w:szCs w:val="22"/>
        </w:rPr>
        <w:tab/>
        <w:t>Department of Energy</w:t>
      </w:r>
    </w:p>
    <w:p w14:paraId="61EECC39" w14:textId="77777777" w:rsidR="005320E6" w:rsidRPr="000E3BEC" w:rsidRDefault="005320E6" w:rsidP="005320E6">
      <w:pPr>
        <w:pStyle w:val="AA"/>
        <w:spacing w:after="40"/>
        <w:ind w:left="0" w:firstLine="0"/>
        <w:rPr>
          <w:szCs w:val="22"/>
        </w:rPr>
      </w:pPr>
      <w:r w:rsidRPr="000E3BEC">
        <w:rPr>
          <w:szCs w:val="22"/>
        </w:rPr>
        <w:t>EI</w:t>
      </w:r>
      <w:r w:rsidRPr="000E3BEC">
        <w:rPr>
          <w:szCs w:val="22"/>
        </w:rPr>
        <w:tab/>
      </w:r>
      <w:r w:rsidRPr="000E3BEC">
        <w:rPr>
          <w:szCs w:val="22"/>
        </w:rPr>
        <w:tab/>
        <w:t>Eastern Interconnection</w:t>
      </w:r>
    </w:p>
    <w:p w14:paraId="211D9095" w14:textId="77777777" w:rsidR="005320E6" w:rsidRPr="000E3BEC" w:rsidRDefault="005320E6" w:rsidP="005320E6">
      <w:pPr>
        <w:pStyle w:val="AA"/>
        <w:spacing w:after="40"/>
        <w:ind w:left="0" w:firstLine="0"/>
        <w:rPr>
          <w:szCs w:val="22"/>
        </w:rPr>
      </w:pPr>
      <w:r w:rsidRPr="000E3BEC">
        <w:rPr>
          <w:szCs w:val="22"/>
        </w:rPr>
        <w:t>EIA</w:t>
      </w:r>
      <w:r w:rsidRPr="000E3BEC">
        <w:rPr>
          <w:szCs w:val="22"/>
        </w:rPr>
        <w:tab/>
      </w:r>
      <w:r w:rsidRPr="000E3BEC">
        <w:rPr>
          <w:szCs w:val="22"/>
        </w:rPr>
        <w:tab/>
        <w:t>Energy Information Administration</w:t>
      </w:r>
    </w:p>
    <w:p w14:paraId="064070DC" w14:textId="5D2F37BE" w:rsidR="005320E6" w:rsidRDefault="005320E6" w:rsidP="005320E6">
      <w:pPr>
        <w:pStyle w:val="AA"/>
        <w:spacing w:after="40"/>
        <w:ind w:left="0" w:firstLine="0"/>
        <w:rPr>
          <w:szCs w:val="22"/>
        </w:rPr>
      </w:pPr>
      <w:r w:rsidRPr="000E3BEC">
        <w:rPr>
          <w:szCs w:val="22"/>
        </w:rPr>
        <w:t>ERCOT</w:t>
      </w:r>
      <w:r w:rsidRPr="000E3BEC">
        <w:rPr>
          <w:szCs w:val="22"/>
        </w:rPr>
        <w:tab/>
        <w:t>Electric Reliability Council of Texas</w:t>
      </w:r>
    </w:p>
    <w:p w14:paraId="622C8C8E" w14:textId="6A6E0FDE" w:rsidR="009A1205" w:rsidRPr="000E3BEC" w:rsidRDefault="009A1205" w:rsidP="005320E6">
      <w:pPr>
        <w:pStyle w:val="AA"/>
        <w:spacing w:after="40"/>
        <w:ind w:left="0" w:firstLine="0"/>
        <w:rPr>
          <w:szCs w:val="22"/>
        </w:rPr>
      </w:pPr>
      <w:r>
        <w:rPr>
          <w:szCs w:val="22"/>
        </w:rPr>
        <w:t>FERC</w:t>
      </w:r>
      <w:r>
        <w:rPr>
          <w:szCs w:val="22"/>
        </w:rPr>
        <w:tab/>
      </w:r>
      <w:r>
        <w:rPr>
          <w:szCs w:val="22"/>
        </w:rPr>
        <w:tab/>
        <w:t>Federal Energy Regulatory Commission</w:t>
      </w:r>
    </w:p>
    <w:p w14:paraId="71365B65" w14:textId="77777777" w:rsidR="005320E6" w:rsidRPr="000E3BEC" w:rsidRDefault="005320E6" w:rsidP="005320E6">
      <w:pPr>
        <w:pStyle w:val="AA"/>
        <w:spacing w:after="40"/>
        <w:ind w:left="0" w:firstLine="0"/>
        <w:rPr>
          <w:szCs w:val="22"/>
        </w:rPr>
      </w:pPr>
      <w:r w:rsidRPr="000E3BEC">
        <w:rPr>
          <w:szCs w:val="22"/>
        </w:rPr>
        <w:t>FOM</w:t>
      </w:r>
      <w:r w:rsidRPr="000E3BEC">
        <w:rPr>
          <w:szCs w:val="22"/>
        </w:rPr>
        <w:tab/>
      </w:r>
      <w:r w:rsidRPr="000E3BEC">
        <w:rPr>
          <w:szCs w:val="22"/>
        </w:rPr>
        <w:tab/>
        <w:t>Fixed Operation &amp; Maintenance</w:t>
      </w:r>
    </w:p>
    <w:p w14:paraId="3A17B391" w14:textId="3FB89B1E" w:rsidR="000E3BEC" w:rsidRPr="000E3BEC" w:rsidRDefault="000E3BEC" w:rsidP="005320E6">
      <w:pPr>
        <w:pStyle w:val="AA"/>
        <w:spacing w:after="40"/>
        <w:ind w:left="0" w:firstLine="0"/>
        <w:rPr>
          <w:szCs w:val="22"/>
        </w:rPr>
      </w:pPr>
      <w:r w:rsidRPr="000E3BEC">
        <w:rPr>
          <w:szCs w:val="22"/>
        </w:rPr>
        <w:t>GFL</w:t>
      </w:r>
      <w:r w:rsidRPr="000E3BEC">
        <w:rPr>
          <w:szCs w:val="22"/>
        </w:rPr>
        <w:tab/>
      </w:r>
      <w:r w:rsidRPr="000E3BEC">
        <w:rPr>
          <w:szCs w:val="22"/>
        </w:rPr>
        <w:tab/>
        <w:t>Grid Following</w:t>
      </w:r>
    </w:p>
    <w:p w14:paraId="09FF3F50" w14:textId="287C0D51" w:rsidR="000E3BEC" w:rsidRDefault="000E3BEC" w:rsidP="005320E6">
      <w:pPr>
        <w:pStyle w:val="AA"/>
        <w:spacing w:after="40"/>
        <w:ind w:left="0" w:firstLine="0"/>
        <w:rPr>
          <w:szCs w:val="22"/>
        </w:rPr>
      </w:pPr>
      <w:r w:rsidRPr="000E3BEC">
        <w:rPr>
          <w:szCs w:val="22"/>
        </w:rPr>
        <w:t>GFM</w:t>
      </w:r>
      <w:r w:rsidRPr="000E3BEC">
        <w:rPr>
          <w:szCs w:val="22"/>
        </w:rPr>
        <w:tab/>
      </w:r>
      <w:r w:rsidRPr="000E3BEC">
        <w:rPr>
          <w:szCs w:val="22"/>
        </w:rPr>
        <w:tab/>
        <w:t>Grid Forming</w:t>
      </w:r>
    </w:p>
    <w:p w14:paraId="1B9C3CC2" w14:textId="4104736B" w:rsidR="00DD45DD" w:rsidRPr="000E3BEC" w:rsidRDefault="00DD45DD" w:rsidP="005320E6">
      <w:pPr>
        <w:pStyle w:val="AA"/>
        <w:spacing w:after="40"/>
        <w:ind w:left="0" w:firstLine="0"/>
        <w:rPr>
          <w:szCs w:val="22"/>
        </w:rPr>
      </w:pPr>
      <w:r>
        <w:rPr>
          <w:szCs w:val="22"/>
        </w:rPr>
        <w:t>GRIP</w:t>
      </w:r>
      <w:r>
        <w:rPr>
          <w:szCs w:val="22"/>
        </w:rPr>
        <w:tab/>
      </w:r>
      <w:r>
        <w:rPr>
          <w:szCs w:val="22"/>
        </w:rPr>
        <w:tab/>
        <w:t>Grid Resilience and Innovation Partnerships</w:t>
      </w:r>
    </w:p>
    <w:p w14:paraId="4D5D29BA" w14:textId="77777777" w:rsidR="005320E6" w:rsidRDefault="005320E6" w:rsidP="005320E6">
      <w:pPr>
        <w:pStyle w:val="AA"/>
        <w:spacing w:after="40"/>
        <w:ind w:left="0" w:firstLine="0"/>
        <w:rPr>
          <w:szCs w:val="22"/>
        </w:rPr>
      </w:pPr>
      <w:r w:rsidRPr="000E3BEC">
        <w:rPr>
          <w:szCs w:val="22"/>
        </w:rPr>
        <w:t>GW</w:t>
      </w:r>
      <w:r w:rsidRPr="000E3BEC">
        <w:rPr>
          <w:szCs w:val="22"/>
        </w:rPr>
        <w:tab/>
      </w:r>
      <w:r w:rsidRPr="000E3BEC">
        <w:rPr>
          <w:szCs w:val="22"/>
        </w:rPr>
        <w:tab/>
        <w:t>Gigawatt</w:t>
      </w:r>
    </w:p>
    <w:p w14:paraId="6E7A2EB3" w14:textId="29AF1D68" w:rsidR="00B13FAA" w:rsidRPr="000E3BEC" w:rsidRDefault="00B13FAA" w:rsidP="005320E6">
      <w:pPr>
        <w:pStyle w:val="AA"/>
        <w:spacing w:after="40"/>
        <w:ind w:left="0" w:firstLine="0"/>
        <w:rPr>
          <w:szCs w:val="22"/>
        </w:rPr>
      </w:pPr>
      <w:r>
        <w:rPr>
          <w:szCs w:val="22"/>
        </w:rPr>
        <w:t>HIL</w:t>
      </w:r>
      <w:r>
        <w:rPr>
          <w:szCs w:val="22"/>
        </w:rPr>
        <w:tab/>
      </w:r>
      <w:r>
        <w:rPr>
          <w:szCs w:val="22"/>
        </w:rPr>
        <w:tab/>
        <w:t>Hardware-in-the-loop</w:t>
      </w:r>
    </w:p>
    <w:p w14:paraId="0A169E1D" w14:textId="77777777" w:rsidR="005320E6" w:rsidRPr="000E3BEC" w:rsidRDefault="005320E6" w:rsidP="005320E6">
      <w:pPr>
        <w:pStyle w:val="AA"/>
        <w:spacing w:after="40"/>
        <w:ind w:left="0" w:firstLine="0"/>
        <w:rPr>
          <w:szCs w:val="22"/>
        </w:rPr>
      </w:pPr>
      <w:r w:rsidRPr="000E3BEC">
        <w:rPr>
          <w:szCs w:val="22"/>
        </w:rPr>
        <w:t>HRRR</w:t>
      </w:r>
      <w:r w:rsidRPr="000E3BEC">
        <w:rPr>
          <w:szCs w:val="22"/>
        </w:rPr>
        <w:tab/>
      </w:r>
      <w:r w:rsidRPr="000E3BEC">
        <w:rPr>
          <w:szCs w:val="22"/>
        </w:rPr>
        <w:tab/>
      </w:r>
      <w:r w:rsidRPr="000E3BEC">
        <w:rPr>
          <w:szCs w:val="22"/>
          <w:lang w:bidi="fa-IR"/>
        </w:rPr>
        <w:t>High-Resolution Rapid Refresh</w:t>
      </w:r>
    </w:p>
    <w:p w14:paraId="20BC7456" w14:textId="77777777" w:rsidR="005320E6" w:rsidRPr="000E3BEC" w:rsidRDefault="005320E6" w:rsidP="005320E6">
      <w:pPr>
        <w:pStyle w:val="AA"/>
        <w:spacing w:after="40"/>
        <w:ind w:left="0" w:firstLine="0"/>
        <w:rPr>
          <w:szCs w:val="22"/>
        </w:rPr>
      </w:pPr>
      <w:r w:rsidRPr="000E3BEC">
        <w:rPr>
          <w:szCs w:val="22"/>
        </w:rPr>
        <w:t>HVDC</w:t>
      </w:r>
      <w:r w:rsidRPr="000E3BEC">
        <w:rPr>
          <w:szCs w:val="22"/>
        </w:rPr>
        <w:tab/>
      </w:r>
      <w:r w:rsidRPr="000E3BEC">
        <w:rPr>
          <w:szCs w:val="22"/>
        </w:rPr>
        <w:tab/>
        <w:t>High Voltage Direct Current</w:t>
      </w:r>
    </w:p>
    <w:p w14:paraId="7A45D692" w14:textId="1D3A8F3B" w:rsidR="000E3BEC" w:rsidRPr="000E3BEC" w:rsidRDefault="000E3BEC" w:rsidP="005320E6">
      <w:pPr>
        <w:pStyle w:val="AA"/>
        <w:spacing w:after="40"/>
        <w:ind w:left="0" w:firstLine="0"/>
        <w:rPr>
          <w:szCs w:val="22"/>
        </w:rPr>
      </w:pPr>
      <w:r w:rsidRPr="000E3BEC">
        <w:rPr>
          <w:szCs w:val="22"/>
        </w:rPr>
        <w:t>IBRs</w:t>
      </w:r>
      <w:r w:rsidRPr="000E3BEC">
        <w:rPr>
          <w:szCs w:val="22"/>
        </w:rPr>
        <w:tab/>
      </w:r>
      <w:r w:rsidRPr="000E3BEC">
        <w:rPr>
          <w:szCs w:val="22"/>
        </w:rPr>
        <w:tab/>
        <w:t>Inverter-Based Resources</w:t>
      </w:r>
    </w:p>
    <w:p w14:paraId="78C7CAC0" w14:textId="318883A6" w:rsidR="005320E6" w:rsidRPr="000E3BEC" w:rsidRDefault="005320E6" w:rsidP="005320E6">
      <w:pPr>
        <w:pStyle w:val="AA"/>
        <w:spacing w:after="40"/>
        <w:ind w:left="0" w:firstLine="0"/>
        <w:rPr>
          <w:szCs w:val="22"/>
        </w:rPr>
      </w:pPr>
      <w:r w:rsidRPr="000E3BEC">
        <w:rPr>
          <w:szCs w:val="22"/>
        </w:rPr>
        <w:t>ISO-NE</w:t>
      </w:r>
      <w:r w:rsidRPr="000E3BEC">
        <w:rPr>
          <w:szCs w:val="22"/>
        </w:rPr>
        <w:tab/>
        <w:t>Independent System Operator New England</w:t>
      </w:r>
    </w:p>
    <w:p w14:paraId="23BA1AD8" w14:textId="77777777" w:rsidR="005320E6" w:rsidRPr="000E3BEC" w:rsidRDefault="005320E6" w:rsidP="005320E6">
      <w:pPr>
        <w:pStyle w:val="AA"/>
        <w:spacing w:after="40"/>
        <w:ind w:left="0" w:firstLine="0"/>
        <w:rPr>
          <w:szCs w:val="22"/>
        </w:rPr>
      </w:pPr>
      <w:r w:rsidRPr="000E3BEC">
        <w:rPr>
          <w:szCs w:val="22"/>
        </w:rPr>
        <w:t>ISU</w:t>
      </w:r>
      <w:r w:rsidRPr="000E3BEC">
        <w:rPr>
          <w:szCs w:val="22"/>
        </w:rPr>
        <w:tab/>
      </w:r>
      <w:r w:rsidRPr="000E3BEC">
        <w:rPr>
          <w:szCs w:val="22"/>
        </w:rPr>
        <w:tab/>
        <w:t>Iowa State University</w:t>
      </w:r>
    </w:p>
    <w:p w14:paraId="35A483F2" w14:textId="77777777" w:rsidR="005320E6" w:rsidRPr="000E3BEC" w:rsidRDefault="005320E6" w:rsidP="005320E6">
      <w:pPr>
        <w:pStyle w:val="AA"/>
        <w:spacing w:after="40"/>
        <w:ind w:left="0" w:firstLine="0"/>
        <w:rPr>
          <w:szCs w:val="22"/>
        </w:rPr>
      </w:pPr>
      <w:r w:rsidRPr="000E3BEC">
        <w:rPr>
          <w:szCs w:val="22"/>
        </w:rPr>
        <w:t>kV</w:t>
      </w:r>
      <w:r w:rsidRPr="000E3BEC">
        <w:rPr>
          <w:szCs w:val="22"/>
        </w:rPr>
        <w:tab/>
      </w:r>
      <w:r w:rsidRPr="000E3BEC">
        <w:rPr>
          <w:szCs w:val="22"/>
        </w:rPr>
        <w:tab/>
        <w:t>Kilovolts</w:t>
      </w:r>
    </w:p>
    <w:p w14:paraId="0366AC97" w14:textId="77777777" w:rsidR="005320E6" w:rsidRPr="000E3BEC" w:rsidRDefault="005320E6" w:rsidP="005320E6">
      <w:pPr>
        <w:pStyle w:val="AA"/>
        <w:spacing w:after="40"/>
        <w:ind w:left="0" w:firstLine="0"/>
        <w:rPr>
          <w:szCs w:val="22"/>
        </w:rPr>
      </w:pPr>
      <w:r w:rsidRPr="000E3BEC">
        <w:rPr>
          <w:szCs w:val="22"/>
        </w:rPr>
        <w:t>LP</w:t>
      </w:r>
      <w:r w:rsidRPr="000E3BEC">
        <w:rPr>
          <w:szCs w:val="22"/>
        </w:rPr>
        <w:tab/>
      </w:r>
      <w:r w:rsidRPr="000E3BEC">
        <w:rPr>
          <w:szCs w:val="22"/>
        </w:rPr>
        <w:tab/>
        <w:t>Linear program</w:t>
      </w:r>
    </w:p>
    <w:p w14:paraId="14F7CFE2" w14:textId="77777777" w:rsidR="005320E6" w:rsidRPr="000E3BEC" w:rsidRDefault="005320E6" w:rsidP="005320E6">
      <w:pPr>
        <w:pStyle w:val="AA"/>
        <w:spacing w:after="40"/>
        <w:ind w:left="0" w:firstLine="0"/>
        <w:rPr>
          <w:szCs w:val="22"/>
        </w:rPr>
      </w:pPr>
      <w:r w:rsidRPr="000E3BEC">
        <w:rPr>
          <w:szCs w:val="22"/>
        </w:rPr>
        <w:t>MACC</w:t>
      </w:r>
      <w:r w:rsidRPr="000E3BEC">
        <w:rPr>
          <w:szCs w:val="22"/>
        </w:rPr>
        <w:tab/>
      </w:r>
      <w:r w:rsidRPr="000E3BEC">
        <w:rPr>
          <w:szCs w:val="22"/>
        </w:rPr>
        <w:tab/>
        <w:t>Minimum Average Cost Curve</w:t>
      </w:r>
    </w:p>
    <w:p w14:paraId="01EEDF55" w14:textId="77777777" w:rsidR="005320E6" w:rsidRPr="000E3BEC" w:rsidRDefault="005320E6" w:rsidP="005320E6">
      <w:pPr>
        <w:pStyle w:val="AA"/>
        <w:spacing w:after="40"/>
        <w:ind w:left="0" w:firstLine="0"/>
        <w:rPr>
          <w:szCs w:val="22"/>
        </w:rPr>
      </w:pPr>
      <w:r w:rsidRPr="000E3BEC">
        <w:rPr>
          <w:szCs w:val="22"/>
        </w:rPr>
        <w:t>MILP</w:t>
      </w:r>
      <w:r w:rsidRPr="000E3BEC">
        <w:rPr>
          <w:szCs w:val="22"/>
        </w:rPr>
        <w:tab/>
      </w:r>
      <w:r w:rsidRPr="000E3BEC">
        <w:rPr>
          <w:szCs w:val="22"/>
        </w:rPr>
        <w:tab/>
        <w:t>Mixed integer linear program</w:t>
      </w:r>
    </w:p>
    <w:p w14:paraId="43FA6545" w14:textId="77777777" w:rsidR="005320E6" w:rsidRPr="000E3BEC" w:rsidRDefault="005320E6" w:rsidP="005320E6">
      <w:pPr>
        <w:pStyle w:val="AA"/>
        <w:spacing w:after="40"/>
        <w:ind w:left="0" w:firstLine="0"/>
        <w:rPr>
          <w:szCs w:val="22"/>
        </w:rPr>
      </w:pPr>
      <w:r w:rsidRPr="000E3BEC">
        <w:rPr>
          <w:szCs w:val="22"/>
        </w:rPr>
        <w:t>MISO</w:t>
      </w:r>
      <w:r w:rsidRPr="000E3BEC">
        <w:rPr>
          <w:szCs w:val="22"/>
        </w:rPr>
        <w:tab/>
      </w:r>
      <w:r w:rsidRPr="000E3BEC">
        <w:rPr>
          <w:szCs w:val="22"/>
        </w:rPr>
        <w:tab/>
        <w:t>MidContinent Independent System Operator</w:t>
      </w:r>
    </w:p>
    <w:p w14:paraId="4716A62B" w14:textId="5D668D9C" w:rsidR="00621BB7" w:rsidRPr="000E3BEC" w:rsidRDefault="00621BB7" w:rsidP="005320E6">
      <w:pPr>
        <w:pStyle w:val="AA"/>
        <w:spacing w:after="40"/>
        <w:ind w:left="0" w:firstLine="0"/>
        <w:rPr>
          <w:szCs w:val="22"/>
        </w:rPr>
      </w:pPr>
      <w:r w:rsidRPr="000E3BEC">
        <w:rPr>
          <w:szCs w:val="22"/>
        </w:rPr>
        <w:t>MTDC</w:t>
      </w:r>
      <w:r w:rsidRPr="000E3BEC">
        <w:rPr>
          <w:szCs w:val="22"/>
        </w:rPr>
        <w:tab/>
      </w:r>
      <w:r w:rsidRPr="000E3BEC">
        <w:rPr>
          <w:szCs w:val="22"/>
        </w:rPr>
        <w:tab/>
        <w:t>Multi-Terminal Direct Current (also Multi-Terminal High Voltage Direct Current)</w:t>
      </w:r>
    </w:p>
    <w:p w14:paraId="780BD40B" w14:textId="77777777" w:rsidR="005320E6" w:rsidRPr="000E3BEC" w:rsidRDefault="005320E6" w:rsidP="005320E6">
      <w:pPr>
        <w:pStyle w:val="AA"/>
        <w:spacing w:after="40"/>
        <w:ind w:left="0" w:firstLine="0"/>
        <w:rPr>
          <w:szCs w:val="22"/>
        </w:rPr>
      </w:pPr>
      <w:r w:rsidRPr="000E3BEC">
        <w:rPr>
          <w:szCs w:val="22"/>
        </w:rPr>
        <w:t>MVP</w:t>
      </w:r>
      <w:r w:rsidRPr="000E3BEC">
        <w:rPr>
          <w:szCs w:val="22"/>
        </w:rPr>
        <w:tab/>
      </w:r>
      <w:r w:rsidRPr="000E3BEC">
        <w:rPr>
          <w:szCs w:val="22"/>
        </w:rPr>
        <w:tab/>
        <w:t>Multivalue project</w:t>
      </w:r>
    </w:p>
    <w:p w14:paraId="78D2A1E1" w14:textId="77777777" w:rsidR="005320E6" w:rsidRPr="000E3BEC" w:rsidRDefault="005320E6" w:rsidP="005320E6">
      <w:pPr>
        <w:pStyle w:val="AA"/>
        <w:spacing w:after="40"/>
        <w:ind w:left="0" w:firstLine="0"/>
        <w:rPr>
          <w:szCs w:val="22"/>
        </w:rPr>
      </w:pPr>
      <w:r w:rsidRPr="000E3BEC">
        <w:rPr>
          <w:szCs w:val="22"/>
        </w:rPr>
        <w:t>MW</w:t>
      </w:r>
      <w:r w:rsidRPr="000E3BEC">
        <w:rPr>
          <w:szCs w:val="22"/>
        </w:rPr>
        <w:tab/>
      </w:r>
      <w:r w:rsidRPr="000E3BEC">
        <w:rPr>
          <w:szCs w:val="22"/>
        </w:rPr>
        <w:tab/>
        <w:t>Megawatt</w:t>
      </w:r>
    </w:p>
    <w:p w14:paraId="4399268E" w14:textId="77777777" w:rsidR="005320E6" w:rsidRPr="000E3BEC" w:rsidRDefault="005320E6" w:rsidP="005320E6">
      <w:pPr>
        <w:pStyle w:val="AA"/>
        <w:spacing w:after="40"/>
        <w:ind w:left="0" w:firstLine="0"/>
        <w:rPr>
          <w:szCs w:val="22"/>
        </w:rPr>
      </w:pPr>
      <w:r w:rsidRPr="000E3BEC">
        <w:rPr>
          <w:szCs w:val="22"/>
          <w:lang w:bidi="fa-IR"/>
        </w:rPr>
        <w:t>NOAA</w:t>
      </w:r>
      <w:r w:rsidRPr="000E3BEC">
        <w:rPr>
          <w:szCs w:val="22"/>
          <w:lang w:bidi="fa-IR"/>
        </w:rPr>
        <w:tab/>
      </w:r>
      <w:r w:rsidRPr="000E3BEC">
        <w:rPr>
          <w:szCs w:val="22"/>
          <w:lang w:bidi="fa-IR"/>
        </w:rPr>
        <w:tab/>
        <w:t>National Oceanic and Atmospheric Administration</w:t>
      </w:r>
    </w:p>
    <w:p w14:paraId="6568EC20" w14:textId="77777777" w:rsidR="005320E6" w:rsidRPr="000E3BEC" w:rsidRDefault="005320E6" w:rsidP="005320E6">
      <w:pPr>
        <w:pStyle w:val="AA"/>
        <w:spacing w:after="40"/>
        <w:ind w:left="0" w:firstLine="0"/>
        <w:rPr>
          <w:szCs w:val="22"/>
        </w:rPr>
      </w:pPr>
      <w:r w:rsidRPr="000E3BEC">
        <w:rPr>
          <w:szCs w:val="22"/>
        </w:rPr>
        <w:t>NREL</w:t>
      </w:r>
      <w:r w:rsidRPr="000E3BEC">
        <w:rPr>
          <w:szCs w:val="22"/>
        </w:rPr>
        <w:tab/>
      </w:r>
      <w:r w:rsidRPr="000E3BEC">
        <w:rPr>
          <w:szCs w:val="22"/>
        </w:rPr>
        <w:tab/>
        <w:t>National Renewable Energy Laboratory</w:t>
      </w:r>
    </w:p>
    <w:p w14:paraId="05377FF7" w14:textId="77777777" w:rsidR="005320E6" w:rsidRPr="000E3BEC" w:rsidRDefault="005320E6" w:rsidP="005320E6">
      <w:pPr>
        <w:pStyle w:val="AA"/>
        <w:spacing w:after="40"/>
        <w:ind w:left="0" w:firstLine="0"/>
        <w:rPr>
          <w:szCs w:val="22"/>
        </w:rPr>
      </w:pPr>
      <w:r w:rsidRPr="000E3BEC">
        <w:rPr>
          <w:szCs w:val="22"/>
        </w:rPr>
        <w:t>NYISO</w:t>
      </w:r>
      <w:r w:rsidRPr="000E3BEC">
        <w:rPr>
          <w:szCs w:val="22"/>
        </w:rPr>
        <w:tab/>
      </w:r>
      <w:r w:rsidRPr="000E3BEC">
        <w:rPr>
          <w:szCs w:val="22"/>
        </w:rPr>
        <w:tab/>
        <w:t>New York Independent System Operator</w:t>
      </w:r>
    </w:p>
    <w:p w14:paraId="3D34CF44" w14:textId="77777777" w:rsidR="005320E6" w:rsidRPr="000E3BEC" w:rsidRDefault="005320E6" w:rsidP="005320E6">
      <w:pPr>
        <w:pStyle w:val="AA"/>
        <w:spacing w:after="40"/>
        <w:ind w:left="0" w:firstLine="0"/>
        <w:rPr>
          <w:szCs w:val="22"/>
        </w:rPr>
      </w:pPr>
      <w:r w:rsidRPr="000E3BEC">
        <w:rPr>
          <w:szCs w:val="22"/>
        </w:rPr>
        <w:t>OPDB</w:t>
      </w:r>
      <w:r w:rsidRPr="000E3BEC">
        <w:rPr>
          <w:szCs w:val="22"/>
        </w:rPr>
        <w:tab/>
      </w:r>
      <w:r w:rsidRPr="000E3BEC">
        <w:rPr>
          <w:szCs w:val="22"/>
        </w:rPr>
        <w:tab/>
        <w:t>Onshore power delivery bus</w:t>
      </w:r>
    </w:p>
    <w:p w14:paraId="2E0047CF" w14:textId="77777777" w:rsidR="005320E6" w:rsidRDefault="005320E6" w:rsidP="005320E6">
      <w:pPr>
        <w:pStyle w:val="AA"/>
        <w:spacing w:after="40"/>
        <w:ind w:left="0" w:firstLine="0"/>
        <w:rPr>
          <w:szCs w:val="22"/>
        </w:rPr>
      </w:pPr>
      <w:r w:rsidRPr="000E3BEC">
        <w:rPr>
          <w:szCs w:val="22"/>
        </w:rPr>
        <w:t>OSG</w:t>
      </w:r>
      <w:r w:rsidRPr="000E3BEC">
        <w:rPr>
          <w:szCs w:val="22"/>
        </w:rPr>
        <w:tab/>
      </w:r>
      <w:r w:rsidRPr="000E3BEC">
        <w:rPr>
          <w:szCs w:val="22"/>
        </w:rPr>
        <w:tab/>
        <w:t>Offshore Grid</w:t>
      </w:r>
    </w:p>
    <w:p w14:paraId="2D4520CC" w14:textId="6FF779B5" w:rsidR="00515D60" w:rsidRPr="000E3BEC" w:rsidRDefault="00515D60" w:rsidP="005320E6">
      <w:pPr>
        <w:pStyle w:val="AA"/>
        <w:spacing w:after="40"/>
        <w:ind w:left="0" w:firstLine="0"/>
        <w:rPr>
          <w:szCs w:val="22"/>
        </w:rPr>
      </w:pPr>
      <w:r>
        <w:rPr>
          <w:szCs w:val="22"/>
        </w:rPr>
        <w:t>OSPRE</w:t>
      </w:r>
      <w:r>
        <w:rPr>
          <w:szCs w:val="22"/>
        </w:rPr>
        <w:tab/>
        <w:t>OffShore Power Research and Education</w:t>
      </w:r>
    </w:p>
    <w:p w14:paraId="5BCF9D73" w14:textId="77777777" w:rsidR="005320E6" w:rsidRPr="000E3BEC" w:rsidRDefault="005320E6" w:rsidP="005320E6">
      <w:pPr>
        <w:pStyle w:val="AA"/>
        <w:spacing w:after="40"/>
        <w:ind w:left="0" w:firstLine="0"/>
        <w:rPr>
          <w:szCs w:val="22"/>
        </w:rPr>
      </w:pPr>
      <w:r w:rsidRPr="000E3BEC">
        <w:rPr>
          <w:szCs w:val="22"/>
        </w:rPr>
        <w:t>OSW</w:t>
      </w:r>
      <w:r w:rsidRPr="000E3BEC">
        <w:rPr>
          <w:szCs w:val="22"/>
        </w:rPr>
        <w:tab/>
      </w:r>
      <w:r w:rsidRPr="000E3BEC">
        <w:rPr>
          <w:szCs w:val="22"/>
        </w:rPr>
        <w:tab/>
        <w:t>Offshore Wind</w:t>
      </w:r>
    </w:p>
    <w:p w14:paraId="46D82908" w14:textId="77777777" w:rsidR="005320E6" w:rsidRPr="000E3BEC" w:rsidRDefault="005320E6" w:rsidP="005320E6">
      <w:pPr>
        <w:pStyle w:val="AA"/>
        <w:spacing w:after="40"/>
        <w:ind w:left="0" w:firstLine="0"/>
        <w:rPr>
          <w:szCs w:val="22"/>
        </w:rPr>
      </w:pPr>
      <w:r w:rsidRPr="000E3BEC">
        <w:rPr>
          <w:szCs w:val="22"/>
        </w:rPr>
        <w:t>OTEC</w:t>
      </w:r>
      <w:r w:rsidRPr="000E3BEC">
        <w:rPr>
          <w:szCs w:val="22"/>
        </w:rPr>
        <w:tab/>
      </w:r>
      <w:r w:rsidRPr="000E3BEC">
        <w:rPr>
          <w:szCs w:val="22"/>
        </w:rPr>
        <w:tab/>
        <w:t>Onshore transmission expansion costs</w:t>
      </w:r>
    </w:p>
    <w:p w14:paraId="6DAAF317" w14:textId="77777777" w:rsidR="005320E6" w:rsidRPr="000E3BEC" w:rsidRDefault="005320E6" w:rsidP="005320E6">
      <w:pPr>
        <w:pStyle w:val="AA"/>
        <w:spacing w:after="40"/>
        <w:rPr>
          <w:szCs w:val="22"/>
        </w:rPr>
      </w:pPr>
      <w:r w:rsidRPr="000E3BEC">
        <w:rPr>
          <w:szCs w:val="22"/>
        </w:rPr>
        <w:t>PJM</w:t>
      </w:r>
      <w:r w:rsidRPr="000E3BEC">
        <w:rPr>
          <w:szCs w:val="22"/>
        </w:rPr>
        <w:tab/>
        <w:t>Pennsylvania, Jersey, Maryland Regional Transmission Operator</w:t>
      </w:r>
    </w:p>
    <w:p w14:paraId="523CBBBB" w14:textId="77777777" w:rsidR="005320E6" w:rsidRPr="000E3BEC" w:rsidRDefault="005320E6" w:rsidP="005320E6">
      <w:pPr>
        <w:pStyle w:val="AA"/>
        <w:spacing w:after="40"/>
        <w:rPr>
          <w:szCs w:val="22"/>
        </w:rPr>
      </w:pPr>
      <w:r w:rsidRPr="000E3BEC">
        <w:rPr>
          <w:szCs w:val="22"/>
        </w:rPr>
        <w:lastRenderedPageBreak/>
        <w:t>PSS/E</w:t>
      </w:r>
      <w:r w:rsidRPr="000E3BEC">
        <w:rPr>
          <w:szCs w:val="22"/>
        </w:rPr>
        <w:tab/>
        <w:t>Power System Simulation for Engineering</w:t>
      </w:r>
    </w:p>
    <w:p w14:paraId="7EFAD0DE" w14:textId="77777777" w:rsidR="005320E6" w:rsidRPr="000E3BEC" w:rsidRDefault="005320E6" w:rsidP="005320E6">
      <w:pPr>
        <w:pStyle w:val="AA"/>
        <w:spacing w:after="40"/>
        <w:ind w:left="0" w:firstLine="0"/>
        <w:rPr>
          <w:szCs w:val="22"/>
        </w:rPr>
      </w:pPr>
      <w:r w:rsidRPr="000E3BEC">
        <w:rPr>
          <w:szCs w:val="22"/>
        </w:rPr>
        <w:t>POI</w:t>
      </w:r>
      <w:r w:rsidRPr="000E3BEC">
        <w:rPr>
          <w:szCs w:val="22"/>
        </w:rPr>
        <w:tab/>
      </w:r>
      <w:r w:rsidRPr="000E3BEC">
        <w:rPr>
          <w:szCs w:val="22"/>
        </w:rPr>
        <w:tab/>
        <w:t>Points of Interconnection</w:t>
      </w:r>
    </w:p>
    <w:p w14:paraId="772BCFFA" w14:textId="77777777" w:rsidR="005320E6" w:rsidRPr="000E3BEC" w:rsidRDefault="005320E6" w:rsidP="005320E6">
      <w:pPr>
        <w:pStyle w:val="AA"/>
        <w:spacing w:after="40"/>
        <w:ind w:left="0" w:firstLine="0"/>
        <w:rPr>
          <w:szCs w:val="22"/>
        </w:rPr>
      </w:pPr>
      <w:r w:rsidRPr="000E3BEC">
        <w:rPr>
          <w:szCs w:val="22"/>
        </w:rPr>
        <w:t>POIA</w:t>
      </w:r>
      <w:r w:rsidRPr="000E3BEC">
        <w:rPr>
          <w:szCs w:val="22"/>
        </w:rPr>
        <w:tab/>
      </w:r>
      <w:r w:rsidRPr="000E3BEC">
        <w:rPr>
          <w:szCs w:val="22"/>
        </w:rPr>
        <w:tab/>
        <w:t>Points of interconnection assessment</w:t>
      </w:r>
    </w:p>
    <w:p w14:paraId="66D6A96C" w14:textId="77777777" w:rsidR="005320E6" w:rsidRPr="000E3BEC" w:rsidRDefault="005320E6" w:rsidP="005320E6">
      <w:pPr>
        <w:pStyle w:val="AA"/>
        <w:spacing w:after="40"/>
        <w:ind w:left="0" w:firstLine="0"/>
        <w:rPr>
          <w:szCs w:val="22"/>
        </w:rPr>
      </w:pPr>
      <w:r w:rsidRPr="000E3BEC">
        <w:rPr>
          <w:szCs w:val="22"/>
        </w:rPr>
        <w:t>PRM</w:t>
      </w:r>
      <w:r w:rsidRPr="000E3BEC">
        <w:rPr>
          <w:szCs w:val="22"/>
        </w:rPr>
        <w:tab/>
      </w:r>
      <w:r w:rsidRPr="000E3BEC">
        <w:rPr>
          <w:szCs w:val="22"/>
        </w:rPr>
        <w:tab/>
        <w:t>Planning Reserve Margin</w:t>
      </w:r>
    </w:p>
    <w:p w14:paraId="3D8F545C" w14:textId="2EB1748B" w:rsidR="000E3BEC" w:rsidRPr="000E3BEC" w:rsidRDefault="000E3BEC" w:rsidP="005320E6">
      <w:pPr>
        <w:pStyle w:val="AA"/>
        <w:spacing w:after="40"/>
        <w:ind w:left="0" w:firstLine="0"/>
        <w:rPr>
          <w:szCs w:val="22"/>
        </w:rPr>
      </w:pPr>
      <w:r w:rsidRPr="000E3BEC">
        <w:rPr>
          <w:szCs w:val="22"/>
        </w:rPr>
        <w:t>PV</w:t>
      </w:r>
      <w:r w:rsidRPr="000E3BEC">
        <w:rPr>
          <w:szCs w:val="22"/>
        </w:rPr>
        <w:tab/>
      </w:r>
      <w:r w:rsidRPr="000E3BEC">
        <w:rPr>
          <w:szCs w:val="22"/>
        </w:rPr>
        <w:tab/>
        <w:t>Photovoltaics</w:t>
      </w:r>
    </w:p>
    <w:p w14:paraId="542E7AF6" w14:textId="77777777" w:rsidR="005320E6" w:rsidRPr="000E3BEC" w:rsidRDefault="005320E6" w:rsidP="005320E6">
      <w:pPr>
        <w:pStyle w:val="AA"/>
        <w:spacing w:after="40"/>
        <w:ind w:left="0" w:firstLine="0"/>
        <w:rPr>
          <w:szCs w:val="22"/>
        </w:rPr>
      </w:pPr>
      <w:r w:rsidRPr="000E3BEC">
        <w:rPr>
          <w:szCs w:val="22"/>
        </w:rPr>
        <w:t>RTO</w:t>
      </w:r>
      <w:r w:rsidRPr="000E3BEC">
        <w:rPr>
          <w:szCs w:val="22"/>
        </w:rPr>
        <w:tab/>
      </w:r>
      <w:r w:rsidRPr="000E3BEC">
        <w:rPr>
          <w:szCs w:val="22"/>
        </w:rPr>
        <w:tab/>
        <w:t>Regional Transmission Operator</w:t>
      </w:r>
    </w:p>
    <w:p w14:paraId="16300A55" w14:textId="1A0ECA17" w:rsidR="005320E6" w:rsidRDefault="005320E6" w:rsidP="005320E6">
      <w:pPr>
        <w:pStyle w:val="AA"/>
        <w:spacing w:after="40"/>
        <w:ind w:left="0" w:firstLine="0"/>
        <w:rPr>
          <w:szCs w:val="22"/>
        </w:rPr>
      </w:pPr>
      <w:r w:rsidRPr="000E3BEC">
        <w:rPr>
          <w:szCs w:val="22"/>
        </w:rPr>
        <w:t>RAS</w:t>
      </w:r>
      <w:r w:rsidRPr="000E3BEC">
        <w:rPr>
          <w:szCs w:val="22"/>
        </w:rPr>
        <w:tab/>
      </w:r>
      <w:r w:rsidRPr="000E3BEC">
        <w:rPr>
          <w:szCs w:val="22"/>
        </w:rPr>
        <w:tab/>
        <w:t xml:space="preserve">Remedial </w:t>
      </w:r>
      <w:r w:rsidR="00B13FAA">
        <w:rPr>
          <w:szCs w:val="22"/>
        </w:rPr>
        <w:t>A</w:t>
      </w:r>
      <w:r w:rsidRPr="000E3BEC">
        <w:rPr>
          <w:szCs w:val="22"/>
        </w:rPr>
        <w:t xml:space="preserve">ction </w:t>
      </w:r>
      <w:r w:rsidR="00B13FAA">
        <w:rPr>
          <w:szCs w:val="22"/>
        </w:rPr>
        <w:t>S</w:t>
      </w:r>
      <w:r w:rsidRPr="000E3BEC">
        <w:rPr>
          <w:szCs w:val="22"/>
        </w:rPr>
        <w:t>chemes</w:t>
      </w:r>
    </w:p>
    <w:p w14:paraId="6F248F5D" w14:textId="145DCAA1" w:rsidR="00B13FAA" w:rsidRPr="000E3BEC" w:rsidRDefault="00B13FAA" w:rsidP="005320E6">
      <w:pPr>
        <w:pStyle w:val="AA"/>
        <w:spacing w:after="40"/>
        <w:ind w:left="0" w:firstLine="0"/>
        <w:rPr>
          <w:szCs w:val="22"/>
        </w:rPr>
      </w:pPr>
      <w:r>
        <w:rPr>
          <w:szCs w:val="22"/>
        </w:rPr>
        <w:t>SAA</w:t>
      </w:r>
      <w:r>
        <w:rPr>
          <w:szCs w:val="22"/>
        </w:rPr>
        <w:tab/>
      </w:r>
      <w:r>
        <w:rPr>
          <w:szCs w:val="22"/>
        </w:rPr>
        <w:tab/>
        <w:t>State Agreement Approach</w:t>
      </w:r>
    </w:p>
    <w:p w14:paraId="4C0925FC" w14:textId="77777777" w:rsidR="005320E6" w:rsidRPr="000E3BEC" w:rsidRDefault="005320E6" w:rsidP="005320E6">
      <w:pPr>
        <w:pStyle w:val="AA"/>
        <w:spacing w:after="40"/>
        <w:ind w:left="0" w:firstLine="0"/>
        <w:rPr>
          <w:szCs w:val="22"/>
        </w:rPr>
      </w:pPr>
      <w:r w:rsidRPr="000E3BEC">
        <w:rPr>
          <w:szCs w:val="22"/>
        </w:rPr>
        <w:t>SAM</w:t>
      </w:r>
      <w:r w:rsidRPr="000E3BEC">
        <w:rPr>
          <w:szCs w:val="22"/>
        </w:rPr>
        <w:tab/>
      </w:r>
      <w:r w:rsidRPr="000E3BEC">
        <w:rPr>
          <w:szCs w:val="22"/>
        </w:rPr>
        <w:tab/>
        <w:t>System Advisor Model</w:t>
      </w:r>
    </w:p>
    <w:p w14:paraId="16031CDA" w14:textId="77777777" w:rsidR="005320E6" w:rsidRPr="000E3BEC" w:rsidRDefault="005320E6" w:rsidP="005320E6">
      <w:pPr>
        <w:pStyle w:val="AA"/>
        <w:spacing w:after="40"/>
        <w:ind w:left="0" w:firstLine="0"/>
        <w:rPr>
          <w:szCs w:val="22"/>
        </w:rPr>
      </w:pPr>
      <w:r w:rsidRPr="000E3BEC">
        <w:rPr>
          <w:szCs w:val="22"/>
        </w:rPr>
        <w:t>SSCL</w:t>
      </w:r>
      <w:r w:rsidRPr="000E3BEC">
        <w:rPr>
          <w:szCs w:val="22"/>
        </w:rPr>
        <w:tab/>
      </w:r>
      <w:r w:rsidRPr="000E3BEC">
        <w:rPr>
          <w:szCs w:val="22"/>
        </w:rPr>
        <w:tab/>
        <w:t>Single Source Contingency Limit</w:t>
      </w:r>
    </w:p>
    <w:p w14:paraId="107684AE" w14:textId="77777777" w:rsidR="005320E6" w:rsidRPr="000E3BEC" w:rsidRDefault="005320E6" w:rsidP="005320E6">
      <w:pPr>
        <w:pStyle w:val="AA"/>
        <w:spacing w:after="40"/>
        <w:ind w:left="0" w:firstLine="0"/>
        <w:rPr>
          <w:szCs w:val="22"/>
        </w:rPr>
      </w:pPr>
      <w:r w:rsidRPr="000E3BEC">
        <w:rPr>
          <w:szCs w:val="22"/>
        </w:rPr>
        <w:t>TARA</w:t>
      </w:r>
      <w:r w:rsidRPr="000E3BEC">
        <w:rPr>
          <w:szCs w:val="22"/>
        </w:rPr>
        <w:tab/>
      </w:r>
      <w:r w:rsidRPr="000E3BEC">
        <w:rPr>
          <w:szCs w:val="22"/>
        </w:rPr>
        <w:tab/>
        <w:t>Transmission Adequacy &amp; Reliability Assessment</w:t>
      </w:r>
    </w:p>
    <w:p w14:paraId="26E79D46" w14:textId="7D4ECAA6" w:rsidR="00D95F0A" w:rsidRPr="000E3BEC" w:rsidRDefault="00D95F0A" w:rsidP="005320E6">
      <w:pPr>
        <w:pStyle w:val="AA"/>
        <w:spacing w:after="40"/>
        <w:ind w:left="0" w:firstLine="0"/>
        <w:rPr>
          <w:szCs w:val="22"/>
        </w:rPr>
      </w:pPr>
      <w:r w:rsidRPr="000E3BEC">
        <w:rPr>
          <w:szCs w:val="22"/>
        </w:rPr>
        <w:t>TEP</w:t>
      </w:r>
      <w:r w:rsidRPr="000E3BEC">
        <w:rPr>
          <w:szCs w:val="22"/>
        </w:rPr>
        <w:tab/>
      </w:r>
      <w:r w:rsidRPr="000E3BEC">
        <w:rPr>
          <w:szCs w:val="22"/>
        </w:rPr>
        <w:tab/>
        <w:t>Transmission Expansion Planning</w:t>
      </w:r>
    </w:p>
    <w:p w14:paraId="2DCCC481" w14:textId="77777777" w:rsidR="005320E6" w:rsidRPr="000E3BEC" w:rsidRDefault="005320E6" w:rsidP="005320E6">
      <w:pPr>
        <w:pStyle w:val="AA"/>
        <w:spacing w:after="40"/>
        <w:ind w:left="0" w:firstLine="0"/>
        <w:rPr>
          <w:szCs w:val="22"/>
        </w:rPr>
      </w:pPr>
      <w:r w:rsidRPr="000E3BEC">
        <w:rPr>
          <w:szCs w:val="22"/>
        </w:rPr>
        <w:t>PTDF</w:t>
      </w:r>
      <w:r w:rsidRPr="000E3BEC">
        <w:rPr>
          <w:szCs w:val="22"/>
        </w:rPr>
        <w:tab/>
      </w:r>
      <w:r w:rsidRPr="000E3BEC">
        <w:rPr>
          <w:szCs w:val="22"/>
        </w:rPr>
        <w:tab/>
        <w:t>Power Transfer Distribution Factor</w:t>
      </w:r>
    </w:p>
    <w:p w14:paraId="239B52AB" w14:textId="77777777" w:rsidR="005320E6" w:rsidRDefault="005320E6" w:rsidP="005320E6">
      <w:pPr>
        <w:pStyle w:val="AA"/>
        <w:spacing w:after="40"/>
        <w:ind w:left="0" w:firstLine="0"/>
        <w:rPr>
          <w:szCs w:val="22"/>
        </w:rPr>
      </w:pPr>
      <w:r w:rsidRPr="000E3BEC">
        <w:rPr>
          <w:szCs w:val="22"/>
        </w:rPr>
        <w:t>VOM</w:t>
      </w:r>
      <w:r w:rsidRPr="000E3BEC">
        <w:rPr>
          <w:szCs w:val="22"/>
        </w:rPr>
        <w:tab/>
      </w:r>
      <w:r w:rsidRPr="000E3BEC">
        <w:rPr>
          <w:szCs w:val="22"/>
        </w:rPr>
        <w:tab/>
        <w:t>Variable Operation and Maintenance</w:t>
      </w:r>
    </w:p>
    <w:p w14:paraId="23FFABE6" w14:textId="25C1B12E" w:rsidR="00B13FAA" w:rsidRPr="000E3BEC" w:rsidRDefault="00B13FAA" w:rsidP="005320E6">
      <w:pPr>
        <w:pStyle w:val="AA"/>
        <w:spacing w:after="40"/>
        <w:ind w:left="0" w:firstLine="0"/>
        <w:rPr>
          <w:szCs w:val="22"/>
        </w:rPr>
      </w:pPr>
      <w:r>
        <w:rPr>
          <w:szCs w:val="22"/>
        </w:rPr>
        <w:t>VSC</w:t>
      </w:r>
      <w:r>
        <w:rPr>
          <w:szCs w:val="22"/>
        </w:rPr>
        <w:tab/>
      </w:r>
      <w:r>
        <w:rPr>
          <w:szCs w:val="22"/>
        </w:rPr>
        <w:tab/>
        <w:t>Voltage Source Converter</w:t>
      </w:r>
    </w:p>
    <w:p w14:paraId="52C2BE78" w14:textId="77777777" w:rsidR="00B13FAA" w:rsidRDefault="005320E6" w:rsidP="005320E6">
      <w:pPr>
        <w:pStyle w:val="AA"/>
        <w:rPr>
          <w:szCs w:val="22"/>
        </w:rPr>
      </w:pPr>
      <w:r w:rsidRPr="000E3BEC">
        <w:rPr>
          <w:szCs w:val="22"/>
        </w:rPr>
        <w:t>WI</w:t>
      </w:r>
      <w:r w:rsidRPr="000E3BEC">
        <w:rPr>
          <w:szCs w:val="22"/>
        </w:rPr>
        <w:tab/>
        <w:t>Western Interconnection</w:t>
      </w:r>
    </w:p>
    <w:p w14:paraId="2AC233A0" w14:textId="14AA9EDA" w:rsidR="00842046" w:rsidRPr="00842046" w:rsidRDefault="00B13FAA" w:rsidP="005320E6">
      <w:pPr>
        <w:pStyle w:val="AA"/>
      </w:pPr>
      <w:r>
        <w:rPr>
          <w:szCs w:val="22"/>
        </w:rPr>
        <w:tab/>
      </w:r>
      <w:r w:rsidR="00842046">
        <w:br w:type="page"/>
      </w:r>
    </w:p>
    <w:p w14:paraId="215BB191" w14:textId="77777777" w:rsidR="00842046" w:rsidRDefault="00842046" w:rsidP="005E3686">
      <w:pPr>
        <w:pStyle w:val="Heading1NoNumber"/>
        <w:sectPr w:rsidR="00842046" w:rsidSect="00E23A1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fmt="lowerRoman" w:start="1"/>
          <w:cols w:space="720"/>
          <w:titlePg/>
          <w:docGrid w:linePitch="360"/>
        </w:sectPr>
      </w:pPr>
    </w:p>
    <w:p w14:paraId="6791BF11" w14:textId="7B2AC42F" w:rsidR="00C40DC6" w:rsidRDefault="00C40DC6" w:rsidP="00C45B61">
      <w:pPr>
        <w:pStyle w:val="Heading1"/>
      </w:pPr>
      <w:bookmarkStart w:id="46" w:name="_Toc158376351"/>
      <w:bookmarkEnd w:id="39"/>
      <w:bookmarkEnd w:id="40"/>
      <w:bookmarkEnd w:id="41"/>
      <w:bookmarkEnd w:id="42"/>
      <w:bookmarkEnd w:id="43"/>
      <w:bookmarkEnd w:id="44"/>
      <w:bookmarkEnd w:id="45"/>
      <w:r>
        <w:lastRenderedPageBreak/>
        <w:t>Project Overview</w:t>
      </w:r>
      <w:bookmarkEnd w:id="46"/>
    </w:p>
    <w:p w14:paraId="2ACDA58A" w14:textId="6FF9136D" w:rsidR="00AA3BD8" w:rsidRDefault="00641CB3" w:rsidP="003F2C5F">
      <w:pPr>
        <w:pStyle w:val="BodyText"/>
      </w:pPr>
      <w:r>
        <w:t>The NOWRDC Project #</w:t>
      </w:r>
      <w:r w:rsidR="005320E6">
        <w:t>110</w:t>
      </w:r>
      <w:r>
        <w:t xml:space="preserve">: </w:t>
      </w:r>
      <w:r w:rsidR="005320E6">
        <w:rPr>
          <w:i/>
          <w:iCs/>
        </w:rPr>
        <w:t>Transmission Expansion Planning Models for Offshore Wind Energy</w:t>
      </w:r>
      <w:r>
        <w:t xml:space="preserve"> </w:t>
      </w:r>
      <w:r w:rsidR="00FE3CD9">
        <w:t>(NOWRDC-</w:t>
      </w:r>
      <w:r w:rsidR="005320E6">
        <w:t>TEP</w:t>
      </w:r>
      <w:r w:rsidR="00FE3CD9">
        <w:t xml:space="preserve">) </w:t>
      </w:r>
      <w:r>
        <w:t xml:space="preserve">has advanced the state of the art in </w:t>
      </w:r>
      <w:r w:rsidR="005320E6">
        <w:t xml:space="preserve">the assessment of </w:t>
      </w:r>
      <w:r>
        <w:t xml:space="preserve">offshore wind </w:t>
      </w:r>
      <w:r w:rsidR="001C2260">
        <w:t xml:space="preserve">(OSW) </w:t>
      </w:r>
      <w:r w:rsidR="005320E6">
        <w:t xml:space="preserve">transmission and grid integration on the East Coast for </w:t>
      </w:r>
      <w:r w:rsidR="001C2260">
        <w:t>generation capacities of up to 200 GW. This project has developed an integrated approach to understanding large OSW injections that includes power systems analysis, HVDC technology, and policy assessment.</w:t>
      </w:r>
    </w:p>
    <w:p w14:paraId="4DFDB6CC" w14:textId="0BBE83FB" w:rsidR="000923E2" w:rsidRPr="001C2260" w:rsidRDefault="001C2260" w:rsidP="001C2260">
      <w:pPr>
        <w:pStyle w:val="BodyText"/>
      </w:pPr>
      <w:r>
        <w:t>Central to</w:t>
      </w:r>
      <w:r w:rsidR="00CB0AED">
        <w:t xml:space="preserve"> this project </w:t>
      </w:r>
      <w:r>
        <w:t xml:space="preserve">are the three independent and complementary power systems models, shown in </w:t>
      </w:r>
      <w:r>
        <w:fldChar w:fldCharType="begin"/>
      </w:r>
      <w:r>
        <w:instrText xml:space="preserve"> REF _Ref156142619 \h </w:instrText>
      </w:r>
      <w:r>
        <w:fldChar w:fldCharType="separate"/>
      </w:r>
      <w:r>
        <w:t xml:space="preserve">Table </w:t>
      </w:r>
      <w:r>
        <w:rPr>
          <w:noProof/>
        </w:rPr>
        <w:t>1</w:t>
      </w:r>
      <w:r>
        <w:fldChar w:fldCharType="end"/>
      </w:r>
      <w:r>
        <w:t xml:space="preserve"> and</w:t>
      </w:r>
      <w:r w:rsidR="00075AD3">
        <w:t xml:space="preserve"> </w:t>
      </w:r>
      <w:r w:rsidR="00075AD3">
        <w:fldChar w:fldCharType="begin"/>
      </w:r>
      <w:r w:rsidR="00075AD3">
        <w:instrText xml:space="preserve"> REF _Ref157866360 \h </w:instrText>
      </w:r>
      <w:r w:rsidR="00075AD3">
        <w:fldChar w:fldCharType="separate"/>
      </w:r>
      <w:r w:rsidR="00075AD3">
        <w:t xml:space="preserve">Figure </w:t>
      </w:r>
      <w:r w:rsidR="00075AD3">
        <w:rPr>
          <w:noProof/>
        </w:rPr>
        <w:t>1</w:t>
      </w:r>
      <w:r w:rsidR="00075AD3">
        <w:fldChar w:fldCharType="end"/>
      </w:r>
      <w:r>
        <w:t>, that the research team developed to assess OSW injections and POI capacities</w:t>
      </w:r>
      <w:r w:rsidR="00CB0AED">
        <w:t>.</w:t>
      </w:r>
      <w:r w:rsidR="00541F4E">
        <w:t xml:space="preserve"> </w:t>
      </w:r>
      <w:r w:rsidR="00541F4E">
        <w:fldChar w:fldCharType="begin"/>
      </w:r>
      <w:r w:rsidR="00541F4E">
        <w:instrText xml:space="preserve"> REF _Ref156142619 \h </w:instrText>
      </w:r>
      <w:r w:rsidR="00541F4E">
        <w:fldChar w:fldCharType="separate"/>
      </w:r>
      <w:r w:rsidR="00541F4E">
        <w:t xml:space="preserve">Table </w:t>
      </w:r>
      <w:r w:rsidR="00541F4E">
        <w:rPr>
          <w:noProof/>
        </w:rPr>
        <w:t>1</w:t>
      </w:r>
      <w:r w:rsidR="00541F4E">
        <w:fldChar w:fldCharType="end"/>
      </w:r>
      <w:r w:rsidR="00541F4E">
        <w:t xml:space="preserve"> and </w:t>
      </w:r>
      <w:r w:rsidR="00075AD3">
        <w:fldChar w:fldCharType="begin"/>
      </w:r>
      <w:r w:rsidR="00075AD3">
        <w:instrText xml:space="preserve"> REF _Ref157866360 \h </w:instrText>
      </w:r>
      <w:r w:rsidR="00075AD3">
        <w:fldChar w:fldCharType="separate"/>
      </w:r>
      <w:r w:rsidR="00075AD3">
        <w:t xml:space="preserve">Figure </w:t>
      </w:r>
      <w:r w:rsidR="00075AD3">
        <w:rPr>
          <w:noProof/>
        </w:rPr>
        <w:t>1</w:t>
      </w:r>
      <w:r w:rsidR="00075AD3">
        <w:fldChar w:fldCharType="end"/>
      </w:r>
      <w:r w:rsidR="00075AD3">
        <w:t xml:space="preserve"> </w:t>
      </w:r>
      <w:r w:rsidR="00541F4E">
        <w:t>were developed for Deliverable 2.3, which discusses these models in detail.</w:t>
      </w:r>
    </w:p>
    <w:p w14:paraId="53DFF531" w14:textId="1870D77F" w:rsidR="001C2260" w:rsidRDefault="001C2260" w:rsidP="001C2260">
      <w:pPr>
        <w:pStyle w:val="Caption"/>
      </w:pPr>
      <w:bookmarkStart w:id="47" w:name="_Ref156142619"/>
      <w:bookmarkStart w:id="48" w:name="_Toc158376303"/>
      <w:r>
        <w:t xml:space="preserve">Table </w:t>
      </w:r>
      <w:r>
        <w:fldChar w:fldCharType="begin"/>
      </w:r>
      <w:r>
        <w:instrText xml:space="preserve"> SEQ Table \* ARABIC </w:instrText>
      </w:r>
      <w:r>
        <w:fldChar w:fldCharType="separate"/>
      </w:r>
      <w:r w:rsidR="00C2176A">
        <w:rPr>
          <w:noProof/>
        </w:rPr>
        <w:t>1</w:t>
      </w:r>
      <w:r>
        <w:rPr>
          <w:noProof/>
        </w:rPr>
        <w:fldChar w:fldCharType="end"/>
      </w:r>
      <w:bookmarkEnd w:id="47"/>
      <w:r>
        <w:t>. Summary of the three power systems models developed for this study.</w:t>
      </w:r>
      <w:bookmarkEnd w:id="48"/>
    </w:p>
    <w:tbl>
      <w:tblPr>
        <w:tblStyle w:val="TableGrid"/>
        <w:tblW w:w="9720" w:type="dxa"/>
        <w:tblInd w:w="-275" w:type="dxa"/>
        <w:tblLayout w:type="fixed"/>
        <w:tblLook w:val="04A0" w:firstRow="1" w:lastRow="0" w:firstColumn="1" w:lastColumn="0" w:noHBand="0" w:noVBand="1"/>
      </w:tblPr>
      <w:tblGrid>
        <w:gridCol w:w="2430"/>
        <w:gridCol w:w="2346"/>
        <w:gridCol w:w="2568"/>
        <w:gridCol w:w="2376"/>
      </w:tblGrid>
      <w:tr w:rsidR="001C2260" w14:paraId="5D4B6DF0" w14:textId="77777777" w:rsidTr="0073132B">
        <w:tc>
          <w:tcPr>
            <w:tcW w:w="2430" w:type="dxa"/>
          </w:tcPr>
          <w:p w14:paraId="427848F7" w14:textId="77777777" w:rsidR="001C2260" w:rsidRDefault="001C2260" w:rsidP="0073132B">
            <w:pPr>
              <w:pStyle w:val="Caption"/>
            </w:pPr>
            <w:r>
              <w:t>ATTRIBUTE</w:t>
            </w:r>
          </w:p>
        </w:tc>
        <w:tc>
          <w:tcPr>
            <w:tcW w:w="2346" w:type="dxa"/>
          </w:tcPr>
          <w:p w14:paraId="1B9407F8" w14:textId="77777777" w:rsidR="001C2260" w:rsidRDefault="001C2260" w:rsidP="0073132B">
            <w:pPr>
              <w:pStyle w:val="Caption"/>
            </w:pPr>
            <w:r>
              <w:t>Model 1</w:t>
            </w:r>
          </w:p>
        </w:tc>
        <w:tc>
          <w:tcPr>
            <w:tcW w:w="2568" w:type="dxa"/>
          </w:tcPr>
          <w:p w14:paraId="19027F93" w14:textId="77777777" w:rsidR="001C2260" w:rsidRDefault="001C2260" w:rsidP="0073132B">
            <w:pPr>
              <w:pStyle w:val="Caption"/>
            </w:pPr>
            <w:r>
              <w:t>Model 2</w:t>
            </w:r>
          </w:p>
        </w:tc>
        <w:tc>
          <w:tcPr>
            <w:tcW w:w="2376" w:type="dxa"/>
          </w:tcPr>
          <w:p w14:paraId="0FE4F303" w14:textId="77777777" w:rsidR="001C2260" w:rsidRDefault="001C2260" w:rsidP="0073132B">
            <w:pPr>
              <w:pStyle w:val="Caption"/>
            </w:pPr>
            <w:r>
              <w:t>Model 3</w:t>
            </w:r>
          </w:p>
        </w:tc>
      </w:tr>
      <w:tr w:rsidR="001C2260" w14:paraId="54343A3D" w14:textId="77777777" w:rsidTr="0073132B">
        <w:tc>
          <w:tcPr>
            <w:tcW w:w="2430" w:type="dxa"/>
          </w:tcPr>
          <w:p w14:paraId="31C584B4" w14:textId="77777777" w:rsidR="001C2260" w:rsidRPr="00BF55FA" w:rsidRDefault="001C2260" w:rsidP="0073132B">
            <w:pPr>
              <w:pStyle w:val="Caption"/>
            </w:pPr>
            <w:r w:rsidRPr="00BF55FA">
              <w:t xml:space="preserve">Geographical </w:t>
            </w:r>
            <w:r>
              <w:t>areas represented</w:t>
            </w:r>
          </w:p>
        </w:tc>
        <w:tc>
          <w:tcPr>
            <w:tcW w:w="2346" w:type="dxa"/>
          </w:tcPr>
          <w:p w14:paraId="0180B22E" w14:textId="77777777" w:rsidR="001C2260" w:rsidRPr="0006509D" w:rsidRDefault="001C2260" w:rsidP="0073132B">
            <w:pPr>
              <w:pStyle w:val="Caption"/>
              <w:rPr>
                <w:b/>
                <w:bCs w:val="0"/>
              </w:rPr>
            </w:pPr>
            <w:r w:rsidRPr="0006509D">
              <w:t>Eastern Interconnection</w:t>
            </w:r>
          </w:p>
        </w:tc>
        <w:tc>
          <w:tcPr>
            <w:tcW w:w="2568" w:type="dxa"/>
          </w:tcPr>
          <w:p w14:paraId="41403872" w14:textId="77777777" w:rsidR="001C2260" w:rsidRPr="0006509D" w:rsidRDefault="001C2260" w:rsidP="0073132B">
            <w:pPr>
              <w:pStyle w:val="Caption"/>
              <w:rPr>
                <w:b/>
                <w:bCs w:val="0"/>
              </w:rPr>
            </w:pPr>
            <w:r w:rsidRPr="0006509D">
              <w:t>Northeast, Southeast US</w:t>
            </w:r>
          </w:p>
        </w:tc>
        <w:tc>
          <w:tcPr>
            <w:tcW w:w="2376" w:type="dxa"/>
          </w:tcPr>
          <w:p w14:paraId="57C24DEC" w14:textId="77777777" w:rsidR="001C2260" w:rsidRPr="0006509D" w:rsidRDefault="001C2260" w:rsidP="0073132B">
            <w:pPr>
              <w:pStyle w:val="Caption"/>
              <w:rPr>
                <w:b/>
                <w:bCs w:val="0"/>
              </w:rPr>
            </w:pPr>
            <w:r w:rsidRPr="0006509D">
              <w:t>Eastern &amp; Western Interconnections</w:t>
            </w:r>
          </w:p>
        </w:tc>
      </w:tr>
      <w:tr w:rsidR="001C2260" w14:paraId="54576BCE" w14:textId="77777777" w:rsidTr="0073132B">
        <w:tc>
          <w:tcPr>
            <w:tcW w:w="2430" w:type="dxa"/>
          </w:tcPr>
          <w:p w14:paraId="72AB1863" w14:textId="77777777" w:rsidR="001C2260" w:rsidRPr="00BF55FA" w:rsidRDefault="001C2260" w:rsidP="0073132B">
            <w:pPr>
              <w:pStyle w:val="Caption"/>
            </w:pPr>
            <w:r w:rsidRPr="00BF55FA">
              <w:t>Model size (no. buses)</w:t>
            </w:r>
          </w:p>
        </w:tc>
        <w:tc>
          <w:tcPr>
            <w:tcW w:w="2346" w:type="dxa"/>
          </w:tcPr>
          <w:p w14:paraId="28D39330" w14:textId="77777777" w:rsidR="001C2260" w:rsidRPr="0006509D" w:rsidRDefault="001C2260" w:rsidP="0073132B">
            <w:pPr>
              <w:pStyle w:val="Caption"/>
              <w:rPr>
                <w:b/>
                <w:bCs w:val="0"/>
              </w:rPr>
            </w:pPr>
            <w:r w:rsidRPr="0006509D">
              <w:t>93,520</w:t>
            </w:r>
          </w:p>
        </w:tc>
        <w:tc>
          <w:tcPr>
            <w:tcW w:w="2568" w:type="dxa"/>
          </w:tcPr>
          <w:p w14:paraId="57C270C7" w14:textId="77777777" w:rsidR="001C2260" w:rsidRPr="0006509D" w:rsidRDefault="001C2260" w:rsidP="0073132B">
            <w:pPr>
              <w:pStyle w:val="Caption"/>
              <w:rPr>
                <w:b/>
                <w:bCs w:val="0"/>
              </w:rPr>
            </w:pPr>
            <w:r w:rsidRPr="0006509D">
              <w:t>1161</w:t>
            </w:r>
          </w:p>
        </w:tc>
        <w:tc>
          <w:tcPr>
            <w:tcW w:w="2376" w:type="dxa"/>
          </w:tcPr>
          <w:p w14:paraId="596D620D" w14:textId="77777777" w:rsidR="001C2260" w:rsidRPr="0006509D" w:rsidRDefault="001C2260" w:rsidP="0073132B">
            <w:pPr>
              <w:pStyle w:val="Caption"/>
              <w:rPr>
                <w:b/>
                <w:bCs w:val="0"/>
              </w:rPr>
            </w:pPr>
            <w:r>
              <w:t>176</w:t>
            </w:r>
          </w:p>
        </w:tc>
      </w:tr>
      <w:tr w:rsidR="001C2260" w14:paraId="336DF3D8" w14:textId="77777777" w:rsidTr="0073132B">
        <w:tc>
          <w:tcPr>
            <w:tcW w:w="2430" w:type="dxa"/>
          </w:tcPr>
          <w:p w14:paraId="38CFAAEF" w14:textId="77777777" w:rsidR="001C2260" w:rsidRPr="00BF55FA" w:rsidRDefault="001C2260" w:rsidP="0073132B">
            <w:pPr>
              <w:pStyle w:val="Caption"/>
            </w:pPr>
            <w:r>
              <w:t>Illustration of geographical area &amp; model size</w:t>
            </w:r>
          </w:p>
        </w:tc>
        <w:tc>
          <w:tcPr>
            <w:tcW w:w="2346" w:type="dxa"/>
          </w:tcPr>
          <w:p w14:paraId="11DD5849" w14:textId="77777777" w:rsidR="001C2260" w:rsidRPr="005714ED" w:rsidRDefault="001C2260" w:rsidP="0073132B">
            <w:pPr>
              <w:pStyle w:val="Caption"/>
            </w:pPr>
            <w:r w:rsidRPr="008A48E3">
              <w:rPr>
                <w:noProof/>
              </w:rPr>
              <w:drawing>
                <wp:inline distT="0" distB="0" distL="0" distR="0" wp14:anchorId="7B49B1F6" wp14:editId="553D1E21">
                  <wp:extent cx="1851660" cy="811058"/>
                  <wp:effectExtent l="0" t="0" r="0" b="8255"/>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4700" cy="821150"/>
                          </a:xfrm>
                          <a:prstGeom prst="rect">
                            <a:avLst/>
                          </a:prstGeom>
                          <a:noFill/>
                          <a:ln>
                            <a:noFill/>
                          </a:ln>
                        </pic:spPr>
                      </pic:pic>
                    </a:graphicData>
                  </a:graphic>
                </wp:inline>
              </w:drawing>
            </w:r>
          </w:p>
        </w:tc>
        <w:tc>
          <w:tcPr>
            <w:tcW w:w="2568" w:type="dxa"/>
          </w:tcPr>
          <w:p w14:paraId="7390AA9A" w14:textId="77777777" w:rsidR="001C2260" w:rsidRPr="005714ED" w:rsidRDefault="001C2260" w:rsidP="0073132B">
            <w:pPr>
              <w:pStyle w:val="Caption"/>
            </w:pPr>
            <w:r w:rsidRPr="008F2224">
              <w:rPr>
                <w:noProof/>
              </w:rPr>
              <w:drawing>
                <wp:inline distT="0" distB="0" distL="0" distR="0" wp14:anchorId="24B9CA42" wp14:editId="0690F988">
                  <wp:extent cx="1493520" cy="753783"/>
                  <wp:effectExtent l="0" t="0" r="0" b="8255"/>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08005" cy="761093"/>
                          </a:xfrm>
                          <a:prstGeom prst="rect">
                            <a:avLst/>
                          </a:prstGeom>
                          <a:noFill/>
                          <a:ln>
                            <a:noFill/>
                          </a:ln>
                        </pic:spPr>
                      </pic:pic>
                    </a:graphicData>
                  </a:graphic>
                </wp:inline>
              </w:drawing>
            </w:r>
          </w:p>
        </w:tc>
        <w:tc>
          <w:tcPr>
            <w:tcW w:w="2376" w:type="dxa"/>
          </w:tcPr>
          <w:p w14:paraId="0FEDDE18" w14:textId="77777777" w:rsidR="001C2260" w:rsidRPr="005714ED" w:rsidRDefault="001C2260" w:rsidP="0073132B">
            <w:pPr>
              <w:pStyle w:val="Caption"/>
            </w:pPr>
            <w:r>
              <w:rPr>
                <w:noProof/>
              </w:rPr>
              <w:drawing>
                <wp:inline distT="0" distB="0" distL="0" distR="0" wp14:anchorId="02C188B0" wp14:editId="55A576D7">
                  <wp:extent cx="1348105" cy="748634"/>
                  <wp:effectExtent l="0" t="0" r="4445" b="0"/>
                  <wp:docPr id="70" name="Picture 70" descr="A map of the united stat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Picture 70" descr="A map of the united states&#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54236" cy="752039"/>
                          </a:xfrm>
                          <a:prstGeom prst="rect">
                            <a:avLst/>
                          </a:prstGeom>
                          <a:noFill/>
                        </pic:spPr>
                      </pic:pic>
                    </a:graphicData>
                  </a:graphic>
                </wp:inline>
              </w:drawing>
            </w:r>
          </w:p>
        </w:tc>
      </w:tr>
    </w:tbl>
    <w:p w14:paraId="711836A7" w14:textId="77777777" w:rsidR="001C2260" w:rsidRDefault="001C2260" w:rsidP="001C2260">
      <w:pPr>
        <w:pStyle w:val="BodyText"/>
        <w:spacing w:after="0"/>
      </w:pPr>
    </w:p>
    <w:p w14:paraId="60470040" w14:textId="1A51F527" w:rsidR="00075AD3" w:rsidRDefault="00075AD3" w:rsidP="00075AD3">
      <w:pPr>
        <w:pStyle w:val="Caption"/>
      </w:pPr>
      <w:bookmarkStart w:id="49" w:name="_Ref157866360"/>
      <w:bookmarkStart w:id="50" w:name="_Toc158376232"/>
      <w:r>
        <w:t xml:space="preserve">Figure </w:t>
      </w:r>
      <w:r>
        <w:fldChar w:fldCharType="begin"/>
      </w:r>
      <w:r>
        <w:instrText xml:space="preserve"> SEQ Figure \* ARABIC </w:instrText>
      </w:r>
      <w:r>
        <w:fldChar w:fldCharType="separate"/>
      </w:r>
      <w:r w:rsidR="00984994">
        <w:rPr>
          <w:noProof/>
        </w:rPr>
        <w:t>1</w:t>
      </w:r>
      <w:r>
        <w:fldChar w:fldCharType="end"/>
      </w:r>
      <w:bookmarkEnd w:id="49"/>
      <w:r>
        <w:t>. Illustration of integrated use of three-model transmission design approach.</w:t>
      </w:r>
      <w:bookmarkEnd w:id="50"/>
    </w:p>
    <w:p w14:paraId="0CFCD84D" w14:textId="01C23C38" w:rsidR="001C2260" w:rsidRDefault="001C2260" w:rsidP="001C2260">
      <w:pPr>
        <w:pStyle w:val="BodyText"/>
        <w:spacing w:after="0"/>
      </w:pPr>
      <w:r>
        <w:rPr>
          <w:noProof/>
        </w:rPr>
        <w:drawing>
          <wp:inline distT="0" distB="0" distL="0" distR="0" wp14:anchorId="12B585EB" wp14:editId="7B0EDA98">
            <wp:extent cx="5920740" cy="3084830"/>
            <wp:effectExtent l="0" t="0" r="3810" b="1270"/>
            <wp:docPr id="69" name="Picture 1" descr="A diagram of a mod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Picture 1" descr="A diagram of a model&#10;&#10;Description automatically generated"/>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920740" cy="3084830"/>
                    </a:xfrm>
                    <a:prstGeom prst="rect">
                      <a:avLst/>
                    </a:prstGeom>
                  </pic:spPr>
                </pic:pic>
              </a:graphicData>
            </a:graphic>
          </wp:inline>
        </w:drawing>
      </w:r>
    </w:p>
    <w:p w14:paraId="144407E8" w14:textId="6EF21512" w:rsidR="00075AD3" w:rsidRDefault="00075AD3" w:rsidP="00075AD3">
      <w:pPr>
        <w:pStyle w:val="Caption"/>
        <w:jc w:val="center"/>
      </w:pPr>
      <w:bookmarkStart w:id="51" w:name="_Ref157866432"/>
      <w:bookmarkStart w:id="52" w:name="_Toc158376233"/>
      <w:bookmarkStart w:id="53" w:name="_Ref156143116"/>
      <w:r>
        <w:lastRenderedPageBreak/>
        <w:t xml:space="preserve">Figure </w:t>
      </w:r>
      <w:r>
        <w:fldChar w:fldCharType="begin"/>
      </w:r>
      <w:r>
        <w:instrText xml:space="preserve"> SEQ Figure \* ARABIC </w:instrText>
      </w:r>
      <w:r>
        <w:fldChar w:fldCharType="separate"/>
      </w:r>
      <w:r w:rsidR="00984994">
        <w:rPr>
          <w:noProof/>
        </w:rPr>
        <w:t>2</w:t>
      </w:r>
      <w:r>
        <w:fldChar w:fldCharType="end"/>
      </w:r>
      <w:bookmarkEnd w:id="51"/>
      <w:r>
        <w:t>. Typical high voltage test facility.</w:t>
      </w:r>
      <w:bookmarkEnd w:id="52"/>
    </w:p>
    <w:p w14:paraId="6C02E173" w14:textId="46D11443" w:rsidR="00541F4E" w:rsidRDefault="00075AD3" w:rsidP="00541F4E">
      <w:pPr>
        <w:pStyle w:val="Caption"/>
        <w:jc w:val="center"/>
      </w:pPr>
      <w:r w:rsidRPr="00075AD3">
        <w:rPr>
          <w:noProof/>
        </w:rPr>
        <w:drawing>
          <wp:inline distT="0" distB="0" distL="0" distR="0" wp14:anchorId="210BE554" wp14:editId="1617263C">
            <wp:extent cx="5943600" cy="2800350"/>
            <wp:effectExtent l="0" t="0" r="0" b="0"/>
            <wp:docPr id="6793333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43600" cy="2800350"/>
                    </a:xfrm>
                    <a:prstGeom prst="rect">
                      <a:avLst/>
                    </a:prstGeom>
                    <a:noFill/>
                    <a:ln>
                      <a:noFill/>
                    </a:ln>
                  </pic:spPr>
                </pic:pic>
              </a:graphicData>
            </a:graphic>
          </wp:inline>
        </w:drawing>
      </w:r>
      <w:bookmarkEnd w:id="53"/>
    </w:p>
    <w:p w14:paraId="5060F8D2" w14:textId="311010D5" w:rsidR="00C10F5D" w:rsidRDefault="00984994" w:rsidP="006931C0">
      <w:pPr>
        <w:pStyle w:val="BodyBeforeList"/>
      </w:pPr>
      <w:r>
        <w:fldChar w:fldCharType="begin"/>
      </w:r>
      <w:r>
        <w:instrText xml:space="preserve"> REF _Ref157866432 \h </w:instrText>
      </w:r>
      <w:r>
        <w:fldChar w:fldCharType="separate"/>
      </w:r>
      <w:r>
        <w:t xml:space="preserve">Figure </w:t>
      </w:r>
      <w:r>
        <w:rPr>
          <w:noProof/>
        </w:rPr>
        <w:t>2</w:t>
      </w:r>
      <w:r>
        <w:fldChar w:fldCharType="end"/>
      </w:r>
      <w:r w:rsidR="00541F4E">
        <w:t>, from Deliverable 4.3, shows a typical high voltage test facility, and gives a sense of the kinds of considerations discussed within the HVDC technology tasks engaged within this project.</w:t>
      </w:r>
      <w:r w:rsidR="002B1246">
        <w:t xml:space="preserve"> These technology assessments were critical to developing realistic topologies for multi-terminal HVDC backbone topologies to deliver the US East Coast OSW resource into the Eastern Interconnect (EIC).</w:t>
      </w:r>
      <w:r w:rsidR="00DA67BE">
        <w:t xml:space="preserve"> The integration of the team’s power systems approach with the HVDC technology assessment includes Points of Interconnection (POIs) as well as HVDC technology design and designations for the subject offshore transmission backbone topology.</w:t>
      </w:r>
    </w:p>
    <w:p w14:paraId="5C6DAE43" w14:textId="1316AA58" w:rsidR="005E3686" w:rsidRDefault="00590076" w:rsidP="00C45B61">
      <w:pPr>
        <w:pStyle w:val="Heading1"/>
      </w:pPr>
      <w:bookmarkStart w:id="54" w:name="_Toc158376352"/>
      <w:r>
        <w:lastRenderedPageBreak/>
        <w:t>Project Team and Personnel</w:t>
      </w:r>
      <w:bookmarkEnd w:id="54"/>
    </w:p>
    <w:p w14:paraId="76C31694" w14:textId="7047249D" w:rsidR="005E3686" w:rsidRDefault="00590076" w:rsidP="005E3686">
      <w:pPr>
        <w:pStyle w:val="BodyText"/>
      </w:pPr>
      <w:r>
        <w:t xml:space="preserve">The </w:t>
      </w:r>
      <w:r w:rsidR="0079018D">
        <w:t>NOWRDC-</w:t>
      </w:r>
      <w:r w:rsidR="0008188E">
        <w:t>TEP</w:t>
      </w:r>
      <w:r w:rsidR="0079018D">
        <w:t xml:space="preserve"> </w:t>
      </w:r>
      <w:r>
        <w:t>Project Team was led by Dr. Eric Hines of Tufts University</w:t>
      </w:r>
      <w:r w:rsidR="0008188E">
        <w:t>. Also at Tufts University, Dr. Kates-Garnick led the project work on policy</w:t>
      </w:r>
      <w:r>
        <w:t>.</w:t>
      </w:r>
      <w:r w:rsidR="0008188E">
        <w:t xml:space="preserve"> </w:t>
      </w:r>
      <w:r>
        <w:t xml:space="preserve">Subcontractors included </w:t>
      </w:r>
      <w:r w:rsidR="0008188E">
        <w:t>Iowa State University, where Dr. McCalley led the power systems analysis, and Clemson University, where Dr. Enslin led the HVDC technology assessment.</w:t>
      </w:r>
      <w:r w:rsidR="0079018D">
        <w:t xml:space="preserve"> </w:t>
      </w:r>
      <w:r w:rsidR="0092147C">
        <w:t>Dr. Lof, of National Grid worked with Tufts directly to help integrate the technical work on Power Systems and HVDC Technology with Project Management and Policy Assessment.</w:t>
      </w:r>
    </w:p>
    <w:p w14:paraId="660611AA" w14:textId="53DE6287" w:rsidR="003C2D1E" w:rsidRPr="0092147C" w:rsidRDefault="003C2D1E" w:rsidP="00A7478A">
      <w:pPr>
        <w:pStyle w:val="Caption"/>
        <w:jc w:val="center"/>
      </w:pPr>
      <w:bookmarkStart w:id="55" w:name="_Ref123998490"/>
      <w:bookmarkStart w:id="56" w:name="_Toc158376304"/>
      <w:r w:rsidRPr="0092147C">
        <w:t xml:space="preserve">Table </w:t>
      </w:r>
      <w:r>
        <w:fldChar w:fldCharType="begin"/>
      </w:r>
      <w:r>
        <w:instrText xml:space="preserve"> SEQ Table \* ARABIC </w:instrText>
      </w:r>
      <w:r>
        <w:fldChar w:fldCharType="separate"/>
      </w:r>
      <w:r w:rsidR="00C2176A">
        <w:rPr>
          <w:noProof/>
        </w:rPr>
        <w:t>2</w:t>
      </w:r>
      <w:r>
        <w:rPr>
          <w:noProof/>
        </w:rPr>
        <w:fldChar w:fldCharType="end"/>
      </w:r>
      <w:bookmarkEnd w:id="55"/>
      <w:r w:rsidRPr="0092147C">
        <w:t xml:space="preserve">. Project </w:t>
      </w:r>
      <w:r w:rsidR="00A7478A">
        <w:t>p</w:t>
      </w:r>
      <w:r w:rsidRPr="0092147C">
        <w:t>ersonnel</w:t>
      </w:r>
      <w:bookmarkEnd w:id="56"/>
    </w:p>
    <w:p w14:paraId="69D3464D" w14:textId="6A6DC6E7" w:rsidR="00A711C3" w:rsidRDefault="00A7478A" w:rsidP="00A7478A">
      <w:pPr>
        <w:pStyle w:val="BodyText"/>
        <w:spacing w:after="0"/>
        <w:jc w:val="center"/>
      </w:pPr>
      <w:r w:rsidRPr="00A7478A">
        <w:rPr>
          <w:noProof/>
        </w:rPr>
        <w:drawing>
          <wp:inline distT="0" distB="0" distL="0" distR="0" wp14:anchorId="02301499" wp14:editId="10747BF0">
            <wp:extent cx="4572000" cy="1792224"/>
            <wp:effectExtent l="0" t="0" r="0" b="0"/>
            <wp:docPr id="113743756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572000" cy="1792224"/>
                    </a:xfrm>
                    <a:prstGeom prst="rect">
                      <a:avLst/>
                    </a:prstGeom>
                    <a:noFill/>
                    <a:ln>
                      <a:noFill/>
                    </a:ln>
                  </pic:spPr>
                </pic:pic>
              </a:graphicData>
            </a:graphic>
          </wp:inline>
        </w:drawing>
      </w:r>
    </w:p>
    <w:p w14:paraId="4FBBB86D" w14:textId="7AA9FC99" w:rsidR="00984994" w:rsidRDefault="00984994" w:rsidP="00984994">
      <w:pPr>
        <w:pStyle w:val="Caption"/>
        <w:jc w:val="center"/>
      </w:pPr>
      <w:bookmarkStart w:id="57" w:name="_Ref157866541"/>
      <w:bookmarkStart w:id="58" w:name="_Toc158376234"/>
      <w:r>
        <w:t xml:space="preserve">Figure </w:t>
      </w:r>
      <w:r>
        <w:fldChar w:fldCharType="begin"/>
      </w:r>
      <w:r>
        <w:instrText xml:space="preserve"> SEQ Figure \* ARABIC </w:instrText>
      </w:r>
      <w:r>
        <w:fldChar w:fldCharType="separate"/>
      </w:r>
      <w:r w:rsidR="00F37ECF">
        <w:rPr>
          <w:noProof/>
        </w:rPr>
        <w:t>3</w:t>
      </w:r>
      <w:r>
        <w:fldChar w:fldCharType="end"/>
      </w:r>
      <w:bookmarkEnd w:id="57"/>
      <w:r>
        <w:t>. Project organizational chart.</w:t>
      </w:r>
      <w:bookmarkEnd w:id="58"/>
    </w:p>
    <w:p w14:paraId="0D4652BC" w14:textId="697CC8BE" w:rsidR="0092147C" w:rsidRDefault="00F257D0" w:rsidP="0092147C">
      <w:pPr>
        <w:pStyle w:val="BodyText"/>
        <w:keepNext/>
        <w:spacing w:after="0"/>
        <w:jc w:val="center"/>
      </w:pPr>
      <w:r>
        <w:rPr>
          <w:noProof/>
        </w:rPr>
        <w:drawing>
          <wp:inline distT="0" distB="0" distL="0" distR="0" wp14:anchorId="732E0F64" wp14:editId="2CE57D90">
            <wp:extent cx="4572000" cy="2569464"/>
            <wp:effectExtent l="0" t="0" r="0" b="2540"/>
            <wp:docPr id="1672610809" name="Picture 6" descr="A diagram of a project management syste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610809" name="Picture 6" descr="A diagram of a project management system&#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0BF66BFB" w14:textId="2E42068B" w:rsidR="00AF30CD" w:rsidRDefault="00984994" w:rsidP="005E3686">
      <w:pPr>
        <w:pStyle w:val="BodyText"/>
      </w:pPr>
      <w:r>
        <w:fldChar w:fldCharType="begin"/>
      </w:r>
      <w:r>
        <w:instrText xml:space="preserve"> REF _Ref157866541 \h </w:instrText>
      </w:r>
      <w:r>
        <w:fldChar w:fldCharType="separate"/>
      </w:r>
      <w:r>
        <w:t xml:space="preserve">Figure </w:t>
      </w:r>
      <w:r>
        <w:rPr>
          <w:noProof/>
        </w:rPr>
        <w:t>4</w:t>
      </w:r>
      <w:r>
        <w:fldChar w:fldCharType="end"/>
      </w:r>
      <w:r>
        <w:t xml:space="preserve"> </w:t>
      </w:r>
      <w:r w:rsidR="00AF30CD">
        <w:t>shows the organizational chart for the NOWRDC-</w:t>
      </w:r>
      <w:r w:rsidR="00A7478A">
        <w:t>TEP</w:t>
      </w:r>
      <w:r w:rsidR="00AF30CD">
        <w:t xml:space="preserve"> project </w:t>
      </w:r>
      <w:r w:rsidR="00A7478A">
        <w:t>and how the three areas of power systems, HVDC technology, and policy assessment were in communication with one another (dashed lines) throughout the project via weekly project meetings and coordinated formally (solid lines) within a project management approach led by Tufts University.</w:t>
      </w:r>
    </w:p>
    <w:p w14:paraId="63EFF839" w14:textId="6B1D802A" w:rsidR="006210AB" w:rsidRDefault="006210AB" w:rsidP="00C45B61">
      <w:pPr>
        <w:pStyle w:val="Heading1"/>
      </w:pPr>
      <w:bookmarkStart w:id="59" w:name="_Toc158376353"/>
      <w:r>
        <w:lastRenderedPageBreak/>
        <w:t xml:space="preserve">Project </w:t>
      </w:r>
      <w:r w:rsidR="006A7005">
        <w:t xml:space="preserve">Tasks and </w:t>
      </w:r>
      <w:r>
        <w:t>Schedule</w:t>
      </w:r>
      <w:bookmarkEnd w:id="59"/>
    </w:p>
    <w:p w14:paraId="4F1CD9C6" w14:textId="0F06EE2E" w:rsidR="00842046" w:rsidRDefault="006210AB" w:rsidP="00842046">
      <w:pPr>
        <w:pStyle w:val="BodyText"/>
      </w:pPr>
      <w:r>
        <w:t xml:space="preserve">The </w:t>
      </w:r>
      <w:r w:rsidR="0017418E">
        <w:t>2</w:t>
      </w:r>
      <w:r w:rsidR="00D743BD">
        <w:t>7</w:t>
      </w:r>
      <w:r w:rsidR="0017418E">
        <w:t>-month p</w:t>
      </w:r>
      <w:r>
        <w:t xml:space="preserve">roject </w:t>
      </w:r>
      <w:r w:rsidR="0017418E">
        <w:t xml:space="preserve">commenced in </w:t>
      </w:r>
      <w:r w:rsidR="00D743BD">
        <w:t>October</w:t>
      </w:r>
      <w:r w:rsidR="0017418E">
        <w:t xml:space="preserve"> 202</w:t>
      </w:r>
      <w:r w:rsidR="00D743BD">
        <w:t>1</w:t>
      </w:r>
      <w:r w:rsidR="0017418E">
        <w:t xml:space="preserve"> and ran through December 202</w:t>
      </w:r>
      <w:r w:rsidR="00D743BD">
        <w:t>3</w:t>
      </w:r>
      <w:r w:rsidR="0017418E">
        <w:t xml:space="preserve">. </w:t>
      </w:r>
      <w:r w:rsidR="00082690">
        <w:fldChar w:fldCharType="begin"/>
      </w:r>
      <w:r w:rsidR="00082690">
        <w:instrText xml:space="preserve"> REF _Ref124001705 \h </w:instrText>
      </w:r>
      <w:r w:rsidR="00082690">
        <w:fldChar w:fldCharType="separate"/>
      </w:r>
      <w:r w:rsidR="00AC6061" w:rsidRPr="00082690">
        <w:t xml:space="preserve">Table </w:t>
      </w:r>
      <w:r w:rsidR="00AC6061">
        <w:rPr>
          <w:noProof/>
        </w:rPr>
        <w:t>3</w:t>
      </w:r>
      <w:r w:rsidR="00082690">
        <w:fldChar w:fldCharType="end"/>
      </w:r>
      <w:r w:rsidR="00082690">
        <w:t xml:space="preserve"> shows the project tasks.</w:t>
      </w:r>
      <w:r w:rsidR="00530454">
        <w:t xml:space="preserve"> Below </w:t>
      </w:r>
      <w:r w:rsidR="00530454">
        <w:fldChar w:fldCharType="begin"/>
      </w:r>
      <w:r w:rsidR="00530454">
        <w:instrText xml:space="preserve"> REF _Ref124001705 \h </w:instrText>
      </w:r>
      <w:r w:rsidR="00530454">
        <w:fldChar w:fldCharType="separate"/>
      </w:r>
      <w:r w:rsidR="00AC6061" w:rsidRPr="00082690">
        <w:t xml:space="preserve">Table </w:t>
      </w:r>
      <w:r w:rsidR="00AC6061">
        <w:rPr>
          <w:noProof/>
        </w:rPr>
        <w:t>3</w:t>
      </w:r>
      <w:r w:rsidR="00530454">
        <w:fldChar w:fldCharType="end"/>
      </w:r>
      <w:r w:rsidR="00530454">
        <w:t xml:space="preserve">, project tasks are listed according to their statement of work formulation within the project contract. </w:t>
      </w:r>
      <w:r w:rsidR="00082690">
        <w:fldChar w:fldCharType="begin"/>
      </w:r>
      <w:r w:rsidR="00082690">
        <w:instrText xml:space="preserve"> REF _Ref124001745 \h </w:instrText>
      </w:r>
      <w:r w:rsidR="00082690">
        <w:fldChar w:fldCharType="separate"/>
      </w:r>
      <w:r w:rsidR="00410CF9" w:rsidRPr="00082690">
        <w:t xml:space="preserve">Table </w:t>
      </w:r>
      <w:r w:rsidR="00410CF9">
        <w:rPr>
          <w:noProof/>
        </w:rPr>
        <w:t>4</w:t>
      </w:r>
      <w:r w:rsidR="00082690">
        <w:fldChar w:fldCharType="end"/>
      </w:r>
      <w:r w:rsidR="00082690">
        <w:t xml:space="preserve"> </w:t>
      </w:r>
      <w:r w:rsidR="008E5479">
        <w:t xml:space="preserve">shows the </w:t>
      </w:r>
      <w:r w:rsidR="004759CD">
        <w:t xml:space="preserve">final </w:t>
      </w:r>
      <w:r w:rsidR="008E5479">
        <w:t xml:space="preserve">project schedule, including Milestones and </w:t>
      </w:r>
      <w:r w:rsidR="00082690">
        <w:t xml:space="preserve">the </w:t>
      </w:r>
      <w:r w:rsidR="008E5479">
        <w:t>Go / No-Go decision point</w:t>
      </w:r>
      <w:r w:rsidR="00082690">
        <w:t xml:space="preserve"> in Project Month 12</w:t>
      </w:r>
      <w:r w:rsidR="008E5479">
        <w:t>.</w:t>
      </w:r>
      <w:bookmarkStart w:id="60" w:name="_Ref123998559"/>
    </w:p>
    <w:p w14:paraId="04005748" w14:textId="3CD29DC2" w:rsidR="006A7005" w:rsidRPr="00082690" w:rsidRDefault="006A7005" w:rsidP="006A7005">
      <w:pPr>
        <w:pStyle w:val="Caption"/>
      </w:pPr>
      <w:bookmarkStart w:id="61" w:name="_Ref124001705"/>
      <w:bookmarkStart w:id="62" w:name="_Toc158376305"/>
      <w:r w:rsidRPr="00082690">
        <w:t xml:space="preserve">Table </w:t>
      </w:r>
      <w:r>
        <w:fldChar w:fldCharType="begin"/>
      </w:r>
      <w:r>
        <w:instrText xml:space="preserve"> SEQ Table \* ARABIC </w:instrText>
      </w:r>
      <w:r>
        <w:fldChar w:fldCharType="separate"/>
      </w:r>
      <w:r w:rsidR="00C2176A">
        <w:rPr>
          <w:noProof/>
        </w:rPr>
        <w:t>3</w:t>
      </w:r>
      <w:r>
        <w:rPr>
          <w:noProof/>
        </w:rPr>
        <w:fldChar w:fldCharType="end"/>
      </w:r>
      <w:bookmarkEnd w:id="61"/>
      <w:r w:rsidRPr="00082690">
        <w:t>. Project Tasks</w:t>
      </w:r>
      <w:bookmarkEnd w:id="62"/>
    </w:p>
    <w:p w14:paraId="2BECEDA8" w14:textId="4B0EE21C" w:rsidR="006A7005" w:rsidRDefault="00AC6061" w:rsidP="00842046">
      <w:pPr>
        <w:pStyle w:val="BodyText"/>
      </w:pPr>
      <w:r w:rsidRPr="00AC6061">
        <w:rPr>
          <w:noProof/>
        </w:rPr>
        <w:drawing>
          <wp:inline distT="0" distB="0" distL="0" distR="0" wp14:anchorId="04448532" wp14:editId="26F835DA">
            <wp:extent cx="5943600" cy="5085080"/>
            <wp:effectExtent l="0" t="0" r="0" b="1270"/>
            <wp:docPr id="923809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3600" cy="5085080"/>
                    </a:xfrm>
                    <a:prstGeom prst="rect">
                      <a:avLst/>
                    </a:prstGeom>
                    <a:noFill/>
                    <a:ln>
                      <a:noFill/>
                    </a:ln>
                  </pic:spPr>
                </pic:pic>
              </a:graphicData>
            </a:graphic>
          </wp:inline>
        </w:drawing>
      </w:r>
    </w:p>
    <w:p w14:paraId="64770618" w14:textId="1BCA74D7" w:rsidR="00AB1D9F" w:rsidRPr="001230B7" w:rsidRDefault="00AB1D9F" w:rsidP="00C745A7">
      <w:pPr>
        <w:pStyle w:val="Heading2NoNumber"/>
        <w:spacing w:line="240" w:lineRule="auto"/>
      </w:pPr>
      <w:r w:rsidRPr="001230B7">
        <w:t xml:space="preserve">Task 1 – </w:t>
      </w:r>
      <w:r w:rsidR="00297E2C">
        <w:t>Interregional Power Flow Model for Existing Network Topology &amp; POI Capacit</w:t>
      </w:r>
      <w:r w:rsidR="00A70327">
        <w:t>i</w:t>
      </w:r>
      <w:r w:rsidR="00297E2C">
        <w:t>es</w:t>
      </w:r>
    </w:p>
    <w:p w14:paraId="4531A5A7" w14:textId="77777777" w:rsidR="00AB1D9F" w:rsidRPr="00E10AC3" w:rsidRDefault="00AB1D9F" w:rsidP="00C745A7">
      <w:pPr>
        <w:pStyle w:val="BodyBeforeList"/>
        <w:numPr>
          <w:ilvl w:val="0"/>
          <w:numId w:val="38"/>
        </w:numPr>
        <w:spacing w:line="240" w:lineRule="auto"/>
        <w:ind w:left="720"/>
      </w:pPr>
      <w:r w:rsidRPr="00E10AC3">
        <w:t>Subtasks</w:t>
      </w:r>
    </w:p>
    <w:p w14:paraId="198B218A" w14:textId="600F3FE2" w:rsidR="00AB1D9F" w:rsidRPr="001230B7" w:rsidRDefault="00297E2C" w:rsidP="00297E2C">
      <w:pPr>
        <w:pStyle w:val="BodyText"/>
        <w:numPr>
          <w:ilvl w:val="1"/>
          <w:numId w:val="38"/>
        </w:numPr>
        <w:spacing w:after="240" w:line="240" w:lineRule="auto"/>
        <w:ind w:left="900" w:hanging="450"/>
      </w:pPr>
      <w:r>
        <w:lastRenderedPageBreak/>
        <w:t>Contractor shall develop a GIS model of the existing relevant portions of the EIC with present and future WEAs for 30 GW, 60 GW, and 100 GW build-outs; POIs; and proposed graphic representation of reduced bus power flow model.</w:t>
      </w:r>
    </w:p>
    <w:p w14:paraId="6D1D709C" w14:textId="0FC50E0F" w:rsidR="00AB1D9F" w:rsidRPr="001230B7" w:rsidRDefault="00297E2C" w:rsidP="00297E2C">
      <w:pPr>
        <w:pStyle w:val="BodyText"/>
        <w:numPr>
          <w:ilvl w:val="1"/>
          <w:numId w:val="38"/>
        </w:numPr>
        <w:spacing w:after="240" w:line="240" w:lineRule="auto"/>
        <w:ind w:left="900"/>
      </w:pPr>
      <w:r>
        <w:t>Contractor shall direct I</w:t>
      </w:r>
      <w:r w:rsidR="00C169ED">
        <w:t>SU</w:t>
      </w:r>
      <w:r w:rsidR="00AB2ABC">
        <w:rPr>
          <w:rStyle w:val="FootnoteReference"/>
        </w:rPr>
        <w:footnoteReference w:id="1"/>
      </w:r>
      <w:r>
        <w:t xml:space="preserve"> to develop a reduced bus power flow model for the EIC including relevant present and future offshore WEAs and POIs.</w:t>
      </w:r>
    </w:p>
    <w:p w14:paraId="0E42B9D8" w14:textId="1C67B783" w:rsidR="00AB1D9F" w:rsidRPr="00297E2C" w:rsidRDefault="00297E2C" w:rsidP="00297E2C">
      <w:pPr>
        <w:pStyle w:val="BodyText"/>
        <w:numPr>
          <w:ilvl w:val="1"/>
          <w:numId w:val="38"/>
        </w:numPr>
        <w:spacing w:after="240" w:line="240" w:lineRule="auto"/>
        <w:ind w:left="900"/>
      </w:pPr>
      <w:r>
        <w:rPr>
          <w:rFonts w:cs="Times New Roman"/>
        </w:rPr>
        <w:t>Contractor shall direct I</w:t>
      </w:r>
      <w:r w:rsidR="00C169ED">
        <w:rPr>
          <w:rFonts w:cs="Times New Roman"/>
        </w:rPr>
        <w:t>SU</w:t>
      </w:r>
      <w:r>
        <w:rPr>
          <w:rFonts w:cs="Times New Roman"/>
        </w:rPr>
        <w:t xml:space="preserve"> to test the power flow model for offshore wind injections at available POIs and determine reasonable limits for present POI capacity without upgrades.</w:t>
      </w:r>
    </w:p>
    <w:p w14:paraId="1D928A33" w14:textId="4024E801" w:rsidR="00774617" w:rsidRDefault="00774617" w:rsidP="00C745A7">
      <w:pPr>
        <w:pStyle w:val="Heading2NoNumber"/>
        <w:spacing w:line="240" w:lineRule="auto"/>
      </w:pPr>
      <w:r>
        <w:t xml:space="preserve">Task 2 – </w:t>
      </w:r>
      <w:r w:rsidR="00297E2C">
        <w:t>Transmission Expansion Planning (TEP) Models.</w:t>
      </w:r>
    </w:p>
    <w:p w14:paraId="7411EF44" w14:textId="77777777" w:rsidR="00774617" w:rsidRDefault="00774617" w:rsidP="00C745A7">
      <w:pPr>
        <w:pStyle w:val="ListParagraph"/>
        <w:widowControl w:val="0"/>
        <w:numPr>
          <w:ilvl w:val="0"/>
          <w:numId w:val="38"/>
        </w:numPr>
        <w:tabs>
          <w:tab w:val="left" w:pos="585"/>
        </w:tabs>
        <w:autoSpaceDE w:val="0"/>
        <w:autoSpaceDN w:val="0"/>
        <w:spacing w:after="120" w:line="240" w:lineRule="auto"/>
        <w:ind w:left="576"/>
        <w:contextualSpacing w:val="0"/>
        <w:rPr>
          <w:rFonts w:ascii="Times New Roman" w:hAnsi="Times New Roman" w:cs="Times New Roman"/>
        </w:rPr>
      </w:pPr>
      <w:r w:rsidRPr="00E10AC3">
        <w:rPr>
          <w:rFonts w:ascii="Times New Roman" w:hAnsi="Times New Roman" w:cs="Times New Roman"/>
        </w:rPr>
        <w:t>Subtasks</w:t>
      </w:r>
    </w:p>
    <w:p w14:paraId="43DDD077" w14:textId="1BF2CFC1" w:rsidR="00774617" w:rsidRPr="001230B7" w:rsidRDefault="00C169ED" w:rsidP="00774617">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Shall direct ISU to develop the power flow model in Task 1, a Transmission Expansion Planning (TEP) model that includes N-1 reliability and production cost modeling capabilities. Contractor shall use this TEP model to assess transmission upgrades required for a 30 GW offshore wind build-out. Two cases shall be studied: 1) generator lead lines; and 2) an offshore grid.</w:t>
      </w:r>
    </w:p>
    <w:p w14:paraId="2F933AE0" w14:textId="4511B8FF" w:rsidR="00774617" w:rsidRPr="001230B7" w:rsidRDefault="00C169ED" w:rsidP="00774617">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Contractor shall direct ISU to expand TEP model to an Adaptive Expansion Planning (AEP) model and assess transmission upgrades for an 85 GW offshore wind build-out. Two cases shall be studied: 1) generator lead lines; and 2) an offshore grid.</w:t>
      </w:r>
    </w:p>
    <w:p w14:paraId="4BA0B2AE" w14:textId="6F824F7C" w:rsidR="00A97FCE" w:rsidRPr="00C169ED" w:rsidRDefault="00C169ED" w:rsidP="00C745A7">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 xml:space="preserve">Contractor shall direct ISU to use the AEP model and assess transmission upgrades for a 200 GW offshore wind build-out. Two cases shall be studied: 1) generator lead lines; and </w:t>
      </w:r>
      <w:r w:rsidR="0064146D">
        <w:rPr>
          <w:rFonts w:ascii="Times New Roman" w:hAnsi="Times New Roman" w:cs="Times New Roman"/>
        </w:rPr>
        <w:t>2) an offshore grid with two distinct topologies.</w:t>
      </w:r>
    </w:p>
    <w:p w14:paraId="2C7E2DFA" w14:textId="46F84DE2" w:rsidR="00AB1D9F" w:rsidRPr="00F452C1" w:rsidRDefault="00AB1D9F" w:rsidP="00C745A7">
      <w:pPr>
        <w:pStyle w:val="Heading2NoNumber"/>
        <w:spacing w:line="240" w:lineRule="auto"/>
      </w:pPr>
      <w:r w:rsidRPr="00A02332">
        <w:t xml:space="preserve">Task 3 – </w:t>
      </w:r>
      <w:r w:rsidR="001122A0">
        <w:t>Resource Variability Analysis</w:t>
      </w:r>
    </w:p>
    <w:p w14:paraId="7FB693B4" w14:textId="77777777" w:rsidR="00AB1D9F" w:rsidRDefault="00AB1D9F" w:rsidP="00C745A7">
      <w:pPr>
        <w:pStyle w:val="ListParagraph"/>
        <w:widowControl w:val="0"/>
        <w:numPr>
          <w:ilvl w:val="0"/>
          <w:numId w:val="38"/>
        </w:numPr>
        <w:tabs>
          <w:tab w:val="left" w:pos="585"/>
        </w:tabs>
        <w:autoSpaceDE w:val="0"/>
        <w:autoSpaceDN w:val="0"/>
        <w:spacing w:after="120" w:line="240" w:lineRule="auto"/>
        <w:ind w:left="720"/>
        <w:contextualSpacing w:val="0"/>
        <w:rPr>
          <w:rFonts w:ascii="Times New Roman" w:hAnsi="Times New Roman" w:cs="Times New Roman"/>
        </w:rPr>
      </w:pPr>
      <w:r w:rsidRPr="00E10AC3">
        <w:rPr>
          <w:rFonts w:ascii="Times New Roman" w:hAnsi="Times New Roman" w:cs="Times New Roman"/>
        </w:rPr>
        <w:t>Subtasks</w:t>
      </w:r>
    </w:p>
    <w:p w14:paraId="1A4D4FF6" w14:textId="20FDB0C6" w:rsidR="00AB1D9F" w:rsidRPr="00E10AC3" w:rsidRDefault="00FA65DB" w:rsidP="00774617">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Contractor shall establish varying power production levels for offshore wind, onshore wind, and solar renewable resources as well as varying electricity demand levels by region for integration into the TEP model.</w:t>
      </w:r>
    </w:p>
    <w:p w14:paraId="230155AE" w14:textId="5D52822E" w:rsidR="00AB1D9F" w:rsidRPr="00E10AC3" w:rsidRDefault="00AB2ABC" w:rsidP="00774617">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Contractor shall direct ISU to apply variability parameters to TEP models in Task 2.</w:t>
      </w:r>
    </w:p>
    <w:p w14:paraId="1E2EDF14" w14:textId="1683ABDC" w:rsidR="00AB1D9F" w:rsidRPr="00AB2ABC" w:rsidRDefault="00270611" w:rsidP="00AB2ABC">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Contractor shall direct ISU to conduct a comparative assessment of offshore wind energy storage vs. curtailment from both a reliability perspective and a cost perspective.</w:t>
      </w:r>
    </w:p>
    <w:p w14:paraId="0730D3DE" w14:textId="1BFE46C7" w:rsidR="00AB1D9F" w:rsidRDefault="00AB1D9F" w:rsidP="00C745A7">
      <w:pPr>
        <w:pStyle w:val="Heading2NoNumber"/>
        <w:spacing w:line="240" w:lineRule="auto"/>
      </w:pPr>
      <w:r w:rsidRPr="00A02332">
        <w:t xml:space="preserve">Task 4 – </w:t>
      </w:r>
      <w:r w:rsidR="00DF5FDD">
        <w:t>HVDC Hardware and System Characterization</w:t>
      </w:r>
    </w:p>
    <w:p w14:paraId="773C97B4" w14:textId="77777777" w:rsidR="00AB1D9F" w:rsidRPr="001230B7" w:rsidRDefault="00AB1D9F" w:rsidP="00C745A7">
      <w:pPr>
        <w:pStyle w:val="ListParagraph"/>
        <w:widowControl w:val="0"/>
        <w:numPr>
          <w:ilvl w:val="0"/>
          <w:numId w:val="38"/>
        </w:numPr>
        <w:tabs>
          <w:tab w:val="left" w:pos="576"/>
        </w:tabs>
        <w:autoSpaceDE w:val="0"/>
        <w:autoSpaceDN w:val="0"/>
        <w:spacing w:after="120" w:line="240" w:lineRule="auto"/>
        <w:ind w:left="720"/>
        <w:contextualSpacing w:val="0"/>
        <w:rPr>
          <w:rFonts w:ascii="Times New Roman" w:hAnsi="Times New Roman" w:cs="Times New Roman"/>
        </w:rPr>
      </w:pPr>
      <w:r w:rsidRPr="001230B7">
        <w:rPr>
          <w:rFonts w:ascii="Times New Roman" w:hAnsi="Times New Roman" w:cs="Times New Roman"/>
        </w:rPr>
        <w:t>Subtasks</w:t>
      </w:r>
    </w:p>
    <w:p w14:paraId="6A94CD19" w14:textId="1895AE1D" w:rsidR="00AB1D9F" w:rsidRPr="0052482D" w:rsidRDefault="00DF5FDD" w:rsidP="00DF5FDD">
      <w:pPr>
        <w:pStyle w:val="ListParagraph"/>
        <w:widowControl w:val="0"/>
        <w:numPr>
          <w:ilvl w:val="1"/>
          <w:numId w:val="38"/>
        </w:numPr>
        <w:tabs>
          <w:tab w:val="left" w:pos="1012"/>
        </w:tabs>
        <w:autoSpaceDE w:val="0"/>
        <w:autoSpaceDN w:val="0"/>
        <w:spacing w:after="240" w:line="240" w:lineRule="auto"/>
        <w:ind w:left="1267" w:hanging="547"/>
        <w:contextualSpacing w:val="0"/>
        <w:rPr>
          <w:rFonts w:ascii="Times New Roman" w:hAnsi="Times New Roman" w:cs="Times New Roman"/>
        </w:rPr>
      </w:pPr>
      <w:r>
        <w:rPr>
          <w:rFonts w:ascii="Times New Roman" w:hAnsi="Times New Roman" w:cs="Times New Roman"/>
        </w:rPr>
        <w:t>Contractor shall direct Clemson to summarize the global state-of-the-practice and state-of-the-art for multi-terminal HVDC networks</w:t>
      </w:r>
      <w:r w:rsidR="00AB1D9F" w:rsidRPr="0052482D">
        <w:rPr>
          <w:rFonts w:ascii="Times New Roman" w:hAnsi="Times New Roman" w:cs="Times New Roman"/>
        </w:rPr>
        <w:t>.</w:t>
      </w:r>
    </w:p>
    <w:p w14:paraId="6156B254" w14:textId="31B757F2" w:rsidR="00AB1D9F" w:rsidRDefault="00DF5FDD" w:rsidP="00774617">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lastRenderedPageBreak/>
        <w:t>Contractor shall direct Clemson to establish configuration parameters for a U.S. multi-terminal HVDC offshore network</w:t>
      </w:r>
      <w:r w:rsidR="00AB1D9F">
        <w:rPr>
          <w:rFonts w:ascii="Times New Roman" w:hAnsi="Times New Roman" w:cs="Times New Roman"/>
        </w:rPr>
        <w:t>.</w:t>
      </w:r>
    </w:p>
    <w:p w14:paraId="036E543E" w14:textId="45080A74" w:rsidR="00DF5FDD" w:rsidRDefault="00DF5FDD" w:rsidP="00DF5FDD">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Contractor shall direct Clemson to outline a large-scale testing program and pathway for standardizing HVDC technology for a U.S. offshore network</w:t>
      </w:r>
      <w:r w:rsidR="00AB1D9F" w:rsidRPr="00AB1D9F">
        <w:rPr>
          <w:rFonts w:ascii="Times New Roman" w:hAnsi="Times New Roman" w:cs="Times New Roman"/>
        </w:rPr>
        <w:t>.</w:t>
      </w:r>
    </w:p>
    <w:p w14:paraId="0E382D91" w14:textId="406A41FA" w:rsidR="00DF5FDD" w:rsidRDefault="00DF5FDD" w:rsidP="00DF5FDD">
      <w:pPr>
        <w:pStyle w:val="Heading2NoNumber"/>
        <w:spacing w:line="240" w:lineRule="auto"/>
      </w:pPr>
      <w:r w:rsidRPr="00A02332">
        <w:t xml:space="preserve">Task </w:t>
      </w:r>
      <w:r>
        <w:t>5</w:t>
      </w:r>
      <w:r w:rsidRPr="00A02332">
        <w:t xml:space="preserve"> – </w:t>
      </w:r>
      <w:r>
        <w:t>Policy &amp; Economic Analysis</w:t>
      </w:r>
    </w:p>
    <w:p w14:paraId="1C38D53E" w14:textId="74EF9F69" w:rsidR="00DF5FDD" w:rsidRPr="00DF5FDD" w:rsidRDefault="00DF5FDD" w:rsidP="00DF5FDD">
      <w:pPr>
        <w:pStyle w:val="ListParagraph"/>
        <w:widowControl w:val="0"/>
        <w:numPr>
          <w:ilvl w:val="0"/>
          <w:numId w:val="38"/>
        </w:numPr>
        <w:tabs>
          <w:tab w:val="left" w:pos="576"/>
        </w:tabs>
        <w:autoSpaceDE w:val="0"/>
        <w:autoSpaceDN w:val="0"/>
        <w:spacing w:after="120" w:line="240" w:lineRule="auto"/>
        <w:ind w:left="576"/>
        <w:rPr>
          <w:rFonts w:ascii="Times New Roman" w:hAnsi="Times New Roman" w:cs="Times New Roman"/>
        </w:rPr>
      </w:pPr>
      <w:r w:rsidRPr="00DF5FDD">
        <w:rPr>
          <w:rFonts w:ascii="Times New Roman" w:hAnsi="Times New Roman" w:cs="Times New Roman"/>
        </w:rPr>
        <w:t>Subtasks</w:t>
      </w:r>
    </w:p>
    <w:p w14:paraId="4B595C87" w14:textId="2CEB4B8E" w:rsidR="00DF5FDD" w:rsidRPr="0052482D" w:rsidRDefault="00DF5FDD" w:rsidP="00DF5FDD">
      <w:pPr>
        <w:pStyle w:val="ListParagraph"/>
        <w:widowControl w:val="0"/>
        <w:numPr>
          <w:ilvl w:val="1"/>
          <w:numId w:val="38"/>
        </w:numPr>
        <w:tabs>
          <w:tab w:val="left" w:pos="1012"/>
        </w:tabs>
        <w:autoSpaceDE w:val="0"/>
        <w:autoSpaceDN w:val="0"/>
        <w:spacing w:after="240" w:line="240" w:lineRule="auto"/>
        <w:ind w:left="1267" w:hanging="547"/>
        <w:contextualSpacing w:val="0"/>
        <w:rPr>
          <w:rFonts w:ascii="Times New Roman" w:hAnsi="Times New Roman" w:cs="Times New Roman"/>
        </w:rPr>
      </w:pPr>
      <w:r>
        <w:rPr>
          <w:rFonts w:ascii="Times New Roman" w:hAnsi="Times New Roman" w:cs="Times New Roman"/>
        </w:rPr>
        <w:t xml:space="preserve">Contractor shall summarize the state-of-the-practice for offshore wind transmission markets and Transmission Expansion Planning in ISO-NE, NYISO, PJM, and the Southeast RTO (which is not a market and composed </w:t>
      </w:r>
      <w:r w:rsidR="00DC2D9B">
        <w:rPr>
          <w:rFonts w:ascii="Times New Roman" w:hAnsi="Times New Roman" w:cs="Times New Roman"/>
        </w:rPr>
        <w:t>over vertically integrated utilities).</w:t>
      </w:r>
    </w:p>
    <w:p w14:paraId="798BBBD0" w14:textId="0A31CEB5" w:rsidR="00DF5FDD" w:rsidRDefault="00DC2D9B" w:rsidP="00DF5FDD">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Contractor shall direct ISU to summarize the state-of-the-practice at the federal level for Transmission Expansion Planning.</w:t>
      </w:r>
    </w:p>
    <w:p w14:paraId="564F5464" w14:textId="0D121FF3" w:rsidR="00DF5FDD" w:rsidRPr="00DF5FDD" w:rsidRDefault="00DC2D9B" w:rsidP="00DF5FDD">
      <w:pPr>
        <w:pStyle w:val="ListParagraph"/>
        <w:widowControl w:val="0"/>
        <w:numPr>
          <w:ilvl w:val="1"/>
          <w:numId w:val="38"/>
        </w:numPr>
        <w:tabs>
          <w:tab w:val="left" w:pos="1012"/>
        </w:tabs>
        <w:autoSpaceDE w:val="0"/>
        <w:autoSpaceDN w:val="0"/>
        <w:spacing w:after="240" w:line="240" w:lineRule="auto"/>
        <w:ind w:left="1260" w:hanging="540"/>
        <w:contextualSpacing w:val="0"/>
        <w:rPr>
          <w:rFonts w:ascii="Times New Roman" w:hAnsi="Times New Roman" w:cs="Times New Roman"/>
        </w:rPr>
      </w:pPr>
      <w:r>
        <w:rPr>
          <w:rFonts w:ascii="Times New Roman" w:hAnsi="Times New Roman" w:cs="Times New Roman"/>
        </w:rPr>
        <w:t>Contractor shall develop future-oriented market concepts and tools including transmission procurement guidelines as well as guidelines for cost allocation and evaluations based on TEP and AEP analyses.</w:t>
      </w:r>
    </w:p>
    <w:p w14:paraId="7CEE3440" w14:textId="57AA689D" w:rsidR="00F361B2" w:rsidRPr="00082690" w:rsidRDefault="00F361B2" w:rsidP="00F361B2">
      <w:pPr>
        <w:pStyle w:val="Caption"/>
      </w:pPr>
      <w:bookmarkStart w:id="63" w:name="_Ref124001745"/>
      <w:bookmarkStart w:id="64" w:name="_Toc158376306"/>
      <w:bookmarkEnd w:id="60"/>
      <w:r w:rsidRPr="00082690">
        <w:lastRenderedPageBreak/>
        <w:t xml:space="preserve">Table </w:t>
      </w:r>
      <w:r>
        <w:fldChar w:fldCharType="begin"/>
      </w:r>
      <w:r>
        <w:instrText xml:space="preserve"> SEQ Table \* ARABIC </w:instrText>
      </w:r>
      <w:r>
        <w:fldChar w:fldCharType="separate"/>
      </w:r>
      <w:r w:rsidR="00C2176A">
        <w:rPr>
          <w:noProof/>
        </w:rPr>
        <w:t>4</w:t>
      </w:r>
      <w:r>
        <w:rPr>
          <w:noProof/>
        </w:rPr>
        <w:fldChar w:fldCharType="end"/>
      </w:r>
      <w:bookmarkEnd w:id="63"/>
      <w:r w:rsidRPr="00082690">
        <w:t>. Project Schedule</w:t>
      </w:r>
      <w:bookmarkEnd w:id="64"/>
    </w:p>
    <w:p w14:paraId="35462E97" w14:textId="6585E64E" w:rsidR="005E3686" w:rsidRDefault="00410CF9" w:rsidP="006210AB">
      <w:pPr>
        <w:pStyle w:val="BodyText"/>
      </w:pPr>
      <w:r w:rsidRPr="00410CF9">
        <w:rPr>
          <w:noProof/>
        </w:rPr>
        <w:drawing>
          <wp:inline distT="0" distB="0" distL="0" distR="0" wp14:anchorId="576D34C6" wp14:editId="2DCFFD9A">
            <wp:extent cx="5943600" cy="6906895"/>
            <wp:effectExtent l="0" t="0" r="0" b="8255"/>
            <wp:docPr id="100334127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3600" cy="6906895"/>
                    </a:xfrm>
                    <a:prstGeom prst="rect">
                      <a:avLst/>
                    </a:prstGeom>
                    <a:noFill/>
                    <a:ln>
                      <a:noFill/>
                    </a:ln>
                  </pic:spPr>
                </pic:pic>
              </a:graphicData>
            </a:graphic>
          </wp:inline>
        </w:drawing>
      </w:r>
    </w:p>
    <w:p w14:paraId="69BB20A2" w14:textId="4DD3984C" w:rsidR="005312BB" w:rsidRDefault="005312BB" w:rsidP="00C45B61">
      <w:pPr>
        <w:pStyle w:val="Heading1"/>
      </w:pPr>
      <w:bookmarkStart w:id="65" w:name="_Toc158376354"/>
      <w:r>
        <w:lastRenderedPageBreak/>
        <w:t>Project Deliverables</w:t>
      </w:r>
      <w:bookmarkEnd w:id="65"/>
    </w:p>
    <w:p w14:paraId="1098A3D0" w14:textId="2769A5F1" w:rsidR="00731DFC" w:rsidRDefault="00731DFC" w:rsidP="00731DFC">
      <w:pPr>
        <w:pStyle w:val="BodyText"/>
      </w:pPr>
      <w:r>
        <w:t xml:space="preserve">Project Deliverables </w:t>
      </w:r>
      <w:r w:rsidR="002476D1">
        <w:t>for NOWRDC-</w:t>
      </w:r>
      <w:r w:rsidR="00C003E7">
        <w:t>TEP</w:t>
      </w:r>
      <w:r w:rsidR="002476D1">
        <w:t xml:space="preserve"> </w:t>
      </w:r>
      <w:r w:rsidR="00C03A45">
        <w:t>include</w:t>
      </w:r>
      <w:r>
        <w:t xml:space="preserve"> </w:t>
      </w:r>
      <w:r w:rsidR="00C03A45">
        <w:t>1</w:t>
      </w:r>
      <w:r w:rsidR="00823462">
        <w:t>4</w:t>
      </w:r>
      <w:r w:rsidR="00C03A45">
        <w:t xml:space="preserve">-technical reports, totaling </w:t>
      </w:r>
      <w:r w:rsidR="00823462">
        <w:t>4</w:t>
      </w:r>
      <w:r w:rsidR="00C639F8">
        <w:t>6</w:t>
      </w:r>
      <w:r w:rsidR="00823462">
        <w:t>9</w:t>
      </w:r>
      <w:r w:rsidR="00937BCA">
        <w:t xml:space="preserve"> pages</w:t>
      </w:r>
      <w:r w:rsidR="00C03A45">
        <w:t>,</w:t>
      </w:r>
      <w:r w:rsidR="00937BCA">
        <w:t xml:space="preserve"> </w:t>
      </w:r>
      <w:r w:rsidR="00C03A45">
        <w:t xml:space="preserve">and </w:t>
      </w:r>
      <w:r>
        <w:t>submitted a</w:t>
      </w:r>
      <w:r w:rsidR="00E02E68">
        <w:t>ccording to</w:t>
      </w:r>
      <w:r>
        <w:t xml:space="preserve"> the Milestones show</w:t>
      </w:r>
      <w:r w:rsidR="00E02E68">
        <w:t>n</w:t>
      </w:r>
      <w:r>
        <w:t xml:space="preserve"> in </w:t>
      </w:r>
      <w:r w:rsidR="00C6012C">
        <w:fldChar w:fldCharType="begin"/>
      </w:r>
      <w:r w:rsidR="00C6012C">
        <w:instrText xml:space="preserve"> REF _Ref124001745 \h </w:instrText>
      </w:r>
      <w:r w:rsidR="00C6012C">
        <w:fldChar w:fldCharType="separate"/>
      </w:r>
      <w:r w:rsidR="00410CF9" w:rsidRPr="00082690">
        <w:t xml:space="preserve">Table </w:t>
      </w:r>
      <w:r w:rsidR="00410CF9">
        <w:rPr>
          <w:noProof/>
        </w:rPr>
        <w:t>4</w:t>
      </w:r>
      <w:r w:rsidR="00C6012C">
        <w:fldChar w:fldCharType="end"/>
      </w:r>
      <w:r>
        <w:t xml:space="preserve">. </w:t>
      </w:r>
      <w:r>
        <w:fldChar w:fldCharType="begin"/>
      </w:r>
      <w:r>
        <w:instrText xml:space="preserve"> REF _Ref123999518 \h </w:instrText>
      </w:r>
      <w:r>
        <w:fldChar w:fldCharType="separate"/>
      </w:r>
      <w:r w:rsidR="00C639F8" w:rsidRPr="00C639F8">
        <w:t xml:space="preserve">Table </w:t>
      </w:r>
      <w:r w:rsidR="00C639F8" w:rsidRPr="00C639F8">
        <w:rPr>
          <w:noProof/>
        </w:rPr>
        <w:t>5</w:t>
      </w:r>
      <w:r>
        <w:fldChar w:fldCharType="end"/>
      </w:r>
      <w:r>
        <w:t xml:space="preserve"> lists the</w:t>
      </w:r>
      <w:r w:rsidR="00CD2A64">
        <w:t xml:space="preserve"> NOWRDC-OSP</w:t>
      </w:r>
      <w:r>
        <w:t xml:space="preserve"> deliverables, designated as “DTask.</w:t>
      </w:r>
      <w:r w:rsidR="00016C4F">
        <w:t xml:space="preserve"> </w:t>
      </w:r>
      <w:r>
        <w:t>Su</w:t>
      </w:r>
      <w:r w:rsidR="00016C4F">
        <w:t>b</w:t>
      </w:r>
      <w:r>
        <w:t>task”</w:t>
      </w:r>
      <w:r w:rsidR="00E02E68">
        <w:t xml:space="preserve"> (where </w:t>
      </w:r>
      <w:r>
        <w:t>Task and Subtask are identified numerically</w:t>
      </w:r>
      <w:r w:rsidR="00E02E68">
        <w:t>)</w:t>
      </w:r>
      <w:r>
        <w:t xml:space="preserve"> as well as </w:t>
      </w:r>
      <w:r w:rsidR="00E02E68">
        <w:t>each</w:t>
      </w:r>
      <w:r>
        <w:t xml:space="preserve"> deliverable’s lead author, lead institution, date, page length and status as to whether the deliverable is currently </w:t>
      </w:r>
      <w:r w:rsidR="00D46A85">
        <w:t>c</w:t>
      </w:r>
      <w:r>
        <w:t>onfidential</w:t>
      </w:r>
      <w:r w:rsidR="00D46A85">
        <w:t>.</w:t>
      </w:r>
      <w:r>
        <w:t xml:space="preserve"> </w:t>
      </w:r>
      <w:r w:rsidR="006F7A66">
        <w:t xml:space="preserve">Numerical designations for deliverables in </w:t>
      </w:r>
      <w:r w:rsidR="006F7A66">
        <w:fldChar w:fldCharType="begin"/>
      </w:r>
      <w:r w:rsidR="006F7A66">
        <w:instrText xml:space="preserve"> REF _Ref123999518 \h </w:instrText>
      </w:r>
      <w:r w:rsidR="006F7A66">
        <w:fldChar w:fldCharType="separate"/>
      </w:r>
      <w:r w:rsidR="00C639F8" w:rsidRPr="00C639F8">
        <w:t xml:space="preserve">Table </w:t>
      </w:r>
      <w:r w:rsidR="00C639F8" w:rsidRPr="00C639F8">
        <w:rPr>
          <w:noProof/>
        </w:rPr>
        <w:t>5</w:t>
      </w:r>
      <w:r w:rsidR="006F7A66">
        <w:fldChar w:fldCharType="end"/>
      </w:r>
      <w:r w:rsidR="006F7A66">
        <w:t xml:space="preserve"> follow project Tasks, Subtasks and Milestones exactly with the exception of D1.</w:t>
      </w:r>
      <w:r w:rsidR="00C639F8">
        <w:t>2</w:t>
      </w:r>
      <w:r w:rsidR="006F7A66">
        <w:t xml:space="preserve">, which includes </w:t>
      </w:r>
      <w:r w:rsidR="00C639F8">
        <w:t>both</w:t>
      </w:r>
      <w:r w:rsidR="006F7A66">
        <w:t xml:space="preserve"> Sub-subtasks 1.</w:t>
      </w:r>
      <w:r w:rsidR="00C639F8">
        <w:t>2</w:t>
      </w:r>
      <w:r w:rsidR="006F7A66">
        <w:t xml:space="preserve"> </w:t>
      </w:r>
      <w:r w:rsidR="00C639F8">
        <w:t xml:space="preserve">and </w:t>
      </w:r>
      <w:r w:rsidR="006F7A66">
        <w:t>1.</w:t>
      </w:r>
      <w:r w:rsidR="00C639F8">
        <w:t>3</w:t>
      </w:r>
      <w:r w:rsidR="006F7A66">
        <w:t>.</w:t>
      </w:r>
    </w:p>
    <w:p w14:paraId="36557C77" w14:textId="4D428803" w:rsidR="00731DFC" w:rsidRPr="00C639F8" w:rsidRDefault="00731DFC" w:rsidP="00731DFC">
      <w:pPr>
        <w:pStyle w:val="Caption"/>
      </w:pPr>
      <w:bookmarkStart w:id="66" w:name="_Ref123999518"/>
      <w:bookmarkStart w:id="67" w:name="_Toc158376307"/>
      <w:r w:rsidRPr="00C639F8">
        <w:t xml:space="preserve">Table </w:t>
      </w:r>
      <w:r>
        <w:fldChar w:fldCharType="begin"/>
      </w:r>
      <w:r>
        <w:instrText xml:space="preserve"> SEQ Table \* ARABIC </w:instrText>
      </w:r>
      <w:r>
        <w:fldChar w:fldCharType="separate"/>
      </w:r>
      <w:r w:rsidR="00C2176A">
        <w:rPr>
          <w:noProof/>
        </w:rPr>
        <w:t>5</w:t>
      </w:r>
      <w:r>
        <w:rPr>
          <w:noProof/>
        </w:rPr>
        <w:fldChar w:fldCharType="end"/>
      </w:r>
      <w:bookmarkEnd w:id="66"/>
      <w:r w:rsidRPr="00C639F8">
        <w:t>. Project Deliverables</w:t>
      </w:r>
      <w:bookmarkEnd w:id="67"/>
    </w:p>
    <w:p w14:paraId="3335B9F1" w14:textId="219E9E54" w:rsidR="00731DFC" w:rsidRDefault="00C639F8" w:rsidP="00731DFC">
      <w:pPr>
        <w:pStyle w:val="BodyText"/>
      </w:pPr>
      <w:r w:rsidRPr="00C639F8">
        <w:rPr>
          <w:noProof/>
        </w:rPr>
        <w:drawing>
          <wp:inline distT="0" distB="0" distL="0" distR="0" wp14:anchorId="1D408D03" wp14:editId="02F75D31">
            <wp:extent cx="5943600" cy="2491740"/>
            <wp:effectExtent l="0" t="0" r="0" b="3810"/>
            <wp:docPr id="62140906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43600" cy="2491740"/>
                    </a:xfrm>
                    <a:prstGeom prst="rect">
                      <a:avLst/>
                    </a:prstGeom>
                    <a:noFill/>
                    <a:ln>
                      <a:noFill/>
                    </a:ln>
                  </pic:spPr>
                </pic:pic>
              </a:graphicData>
            </a:graphic>
          </wp:inline>
        </w:drawing>
      </w:r>
    </w:p>
    <w:p w14:paraId="555D519C" w14:textId="5843844F" w:rsidR="007B2AB2" w:rsidRDefault="007B2AB2" w:rsidP="00C45B61">
      <w:pPr>
        <w:pStyle w:val="Heading1"/>
      </w:pPr>
      <w:bookmarkStart w:id="68" w:name="_Toc158376355"/>
      <w:r>
        <w:lastRenderedPageBreak/>
        <w:t>Project Publications</w:t>
      </w:r>
      <w:bookmarkEnd w:id="68"/>
    </w:p>
    <w:p w14:paraId="66B2B8C0" w14:textId="485CA44D" w:rsidR="00143338" w:rsidRPr="00143338" w:rsidRDefault="00143338" w:rsidP="00143338">
      <w:pPr>
        <w:pStyle w:val="BodyText"/>
      </w:pPr>
      <w:r>
        <w:t xml:space="preserve">To date, the project team has developed </w:t>
      </w:r>
      <w:r w:rsidR="008C67E8">
        <w:t>one workshop, one full conference session, one conference paper, and three more conference presentations</w:t>
      </w:r>
      <w:r>
        <w:t xml:space="preserve">. </w:t>
      </w:r>
      <w:r>
        <w:fldChar w:fldCharType="begin"/>
      </w:r>
      <w:r>
        <w:instrText xml:space="preserve"> REF _Ref124000229 \h </w:instrText>
      </w:r>
      <w:r>
        <w:fldChar w:fldCharType="separate"/>
      </w:r>
      <w:r w:rsidR="008C67E8" w:rsidRPr="008C67E8">
        <w:t xml:space="preserve">Table </w:t>
      </w:r>
      <w:r w:rsidR="008C67E8" w:rsidRPr="008C67E8">
        <w:rPr>
          <w:noProof/>
        </w:rPr>
        <w:t>6</w:t>
      </w:r>
      <w:r>
        <w:fldChar w:fldCharType="end"/>
      </w:r>
      <w:r>
        <w:t xml:space="preserve"> lists these publications, including each publication’s lead author, lead institution, date</w:t>
      </w:r>
      <w:r w:rsidR="00711848">
        <w:t>,</w:t>
      </w:r>
      <w:r>
        <w:t xml:space="preserve"> and venue. The designation “Venue” refers to the title of the</w:t>
      </w:r>
      <w:r w:rsidR="008C67E8">
        <w:t xml:space="preserve"> </w:t>
      </w:r>
      <w:r>
        <w:t>Conference associated with that publication.</w:t>
      </w:r>
      <w:r w:rsidR="000C7EEC">
        <w:t xml:space="preserve"> Note that the June 2023 workshop hosted </w:t>
      </w:r>
      <w:r w:rsidR="00890C89">
        <w:t>jointly by Tufts, Iowa State, and Clemson at</w:t>
      </w:r>
      <w:r w:rsidR="000C7EEC">
        <w:t xml:space="preserve"> Tufts University is fully transcribed in a Rapporteur’s Report within the Tufts Digital Library under the OffShore Power Research and Education (OPSPRE) report series (Harris et al., 2023a)</w:t>
      </w:r>
      <w:r w:rsidR="00962231">
        <w:t>.</w:t>
      </w:r>
    </w:p>
    <w:p w14:paraId="09A5B3B9" w14:textId="42357A4F" w:rsidR="00F361B2" w:rsidRPr="008C67E8" w:rsidRDefault="00F361B2" w:rsidP="00F361B2">
      <w:pPr>
        <w:pStyle w:val="Caption"/>
      </w:pPr>
      <w:bookmarkStart w:id="69" w:name="_Ref124000229"/>
      <w:bookmarkStart w:id="70" w:name="_Toc158376308"/>
      <w:r w:rsidRPr="008C67E8">
        <w:t xml:space="preserve">Table </w:t>
      </w:r>
      <w:r>
        <w:fldChar w:fldCharType="begin"/>
      </w:r>
      <w:r>
        <w:instrText xml:space="preserve"> SEQ Table \* ARABIC </w:instrText>
      </w:r>
      <w:r>
        <w:fldChar w:fldCharType="separate"/>
      </w:r>
      <w:r w:rsidR="000C7EEC">
        <w:rPr>
          <w:noProof/>
        </w:rPr>
        <w:t>6</w:t>
      </w:r>
      <w:r>
        <w:rPr>
          <w:noProof/>
        </w:rPr>
        <w:fldChar w:fldCharType="end"/>
      </w:r>
      <w:bookmarkEnd w:id="69"/>
      <w:r w:rsidRPr="008C67E8">
        <w:t>. Project Publications</w:t>
      </w:r>
      <w:bookmarkEnd w:id="70"/>
    </w:p>
    <w:p w14:paraId="523455D9" w14:textId="379A3657" w:rsidR="007B2AB2" w:rsidRPr="007B2AB2" w:rsidRDefault="000C7EEC" w:rsidP="007B2AB2">
      <w:pPr>
        <w:pStyle w:val="BodyText"/>
      </w:pPr>
      <w:r w:rsidRPr="000C7EEC">
        <w:rPr>
          <w:noProof/>
        </w:rPr>
        <w:drawing>
          <wp:inline distT="0" distB="0" distL="0" distR="0" wp14:anchorId="4F55243F" wp14:editId="5225F42C">
            <wp:extent cx="5943600" cy="1833245"/>
            <wp:effectExtent l="0" t="0" r="0" b="0"/>
            <wp:docPr id="1135631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3600" cy="1833245"/>
                    </a:xfrm>
                    <a:prstGeom prst="rect">
                      <a:avLst/>
                    </a:prstGeom>
                    <a:noFill/>
                    <a:ln>
                      <a:noFill/>
                    </a:ln>
                  </pic:spPr>
                </pic:pic>
              </a:graphicData>
            </a:graphic>
          </wp:inline>
        </w:drawing>
      </w:r>
    </w:p>
    <w:p w14:paraId="60763663" w14:textId="4234991B" w:rsidR="005E3686" w:rsidRDefault="0075391F" w:rsidP="0075391F">
      <w:pPr>
        <w:pStyle w:val="Heading1"/>
      </w:pPr>
      <w:bookmarkStart w:id="71" w:name="_Toc158376356"/>
      <w:r>
        <w:lastRenderedPageBreak/>
        <w:t>Project Summary</w:t>
      </w:r>
      <w:bookmarkEnd w:id="71"/>
    </w:p>
    <w:p w14:paraId="27BE23D1" w14:textId="52DD9FFF" w:rsidR="004E7A60" w:rsidRDefault="004E7A60" w:rsidP="004E7A60">
      <w:pPr>
        <w:pStyle w:val="BodyText"/>
      </w:pPr>
      <w:r>
        <w:t xml:space="preserve">The project was divided into five major tasks as listed in </w:t>
      </w:r>
      <w:r>
        <w:fldChar w:fldCharType="begin"/>
      </w:r>
      <w:r>
        <w:instrText xml:space="preserve"> REF _Ref124001705 \h </w:instrText>
      </w:r>
      <w:r>
        <w:fldChar w:fldCharType="separate"/>
      </w:r>
      <w:r w:rsidR="00D016E1" w:rsidRPr="00082690">
        <w:t xml:space="preserve">Table </w:t>
      </w:r>
      <w:r w:rsidR="00D016E1">
        <w:rPr>
          <w:noProof/>
        </w:rPr>
        <w:t>3</w:t>
      </w:r>
      <w:r>
        <w:fldChar w:fldCharType="end"/>
      </w:r>
      <w:r>
        <w:t xml:space="preserve">. Tasks 1-3 focused on the development of three complementary power systems and transmission expansion planning models as described in </w:t>
      </w:r>
      <w:r>
        <w:fldChar w:fldCharType="begin"/>
      </w:r>
      <w:r>
        <w:instrText xml:space="preserve"> REF _Ref156142619 \h </w:instrText>
      </w:r>
      <w:r>
        <w:fldChar w:fldCharType="separate"/>
      </w:r>
      <w:r>
        <w:t xml:space="preserve">Table </w:t>
      </w:r>
      <w:r>
        <w:rPr>
          <w:noProof/>
        </w:rPr>
        <w:t>1</w:t>
      </w:r>
      <w:r>
        <w:fldChar w:fldCharType="end"/>
      </w:r>
      <w:r>
        <w:t xml:space="preserve">and </w:t>
      </w:r>
      <w:r>
        <w:fldChar w:fldCharType="begin"/>
      </w:r>
      <w:r>
        <w:instrText xml:space="preserve"> REF _Ref156142857 \h </w:instrText>
      </w:r>
      <w:r>
        <w:fldChar w:fldCharType="separate"/>
      </w:r>
      <w:r w:rsidR="00D016E1">
        <w:t xml:space="preserve">Figure </w:t>
      </w:r>
      <w:r w:rsidR="00D016E1">
        <w:rPr>
          <w:noProof/>
        </w:rPr>
        <w:t>1</w:t>
      </w:r>
      <w:r>
        <w:fldChar w:fldCharType="end"/>
      </w:r>
      <w:r>
        <w:t xml:space="preserve">. Task 4 focused on HVDC technology, and Task 5 focused on Policy. Together, all five tasks fit under the three major headings: Power Systems Modeling, HVDC Technology, and Policy Assessment as shown in </w:t>
      </w:r>
      <w:r>
        <w:fldChar w:fldCharType="begin"/>
      </w:r>
      <w:r>
        <w:instrText xml:space="preserve"> REF _Ref156211116 \h </w:instrText>
      </w:r>
      <w:r>
        <w:fldChar w:fldCharType="separate"/>
      </w:r>
      <w:r w:rsidR="00D016E1">
        <w:t xml:space="preserve">Figure </w:t>
      </w:r>
      <w:r w:rsidR="00D016E1">
        <w:rPr>
          <w:noProof/>
        </w:rPr>
        <w:t>4</w:t>
      </w:r>
      <w:r>
        <w:fldChar w:fldCharType="end"/>
      </w:r>
      <w:r>
        <w:t>. This section discusses observations and findings, project benefits, and environmental and economic benefits under these three major headings.</w:t>
      </w:r>
    </w:p>
    <w:p w14:paraId="1201AFF2" w14:textId="657816C2" w:rsidR="004E7A60" w:rsidRDefault="004E7A60" w:rsidP="004E7A60">
      <w:pPr>
        <w:pStyle w:val="Heading2"/>
      </w:pPr>
      <w:bookmarkStart w:id="72" w:name="_Toc158376357"/>
      <w:r>
        <w:t>Power Systems Modeling</w:t>
      </w:r>
      <w:bookmarkEnd w:id="72"/>
    </w:p>
    <w:p w14:paraId="6FF2C66C" w14:textId="6525026F" w:rsidR="004E7A60" w:rsidRDefault="004E7A60" w:rsidP="004E7A60">
      <w:pPr>
        <w:pStyle w:val="BodyText"/>
      </w:pPr>
      <w:r>
        <w:t>Our conclusions and recommendations for further work are as follows</w:t>
      </w:r>
      <w:r w:rsidR="006D2ED8">
        <w:t xml:space="preserve">. Please refer to the Deliverables listed in </w:t>
      </w:r>
      <w:r w:rsidR="006D2ED8">
        <w:fldChar w:fldCharType="begin"/>
      </w:r>
      <w:r w:rsidR="006D2ED8">
        <w:instrText xml:space="preserve"> REF _Ref123999518 \h </w:instrText>
      </w:r>
      <w:r w:rsidR="006D2ED8">
        <w:fldChar w:fldCharType="separate"/>
      </w:r>
      <w:r w:rsidR="00D016E1" w:rsidRPr="00C639F8">
        <w:t xml:space="preserve">Table </w:t>
      </w:r>
      <w:r w:rsidR="00D016E1">
        <w:rPr>
          <w:noProof/>
        </w:rPr>
        <w:t>5</w:t>
      </w:r>
      <w:r w:rsidR="006D2ED8">
        <w:fldChar w:fldCharType="end"/>
      </w:r>
      <w:r w:rsidR="006D2ED8">
        <w:t xml:space="preserve"> for Tasks 1.0, 2.0, and 3.0 for further discussion of this work.</w:t>
      </w:r>
    </w:p>
    <w:p w14:paraId="012142BE" w14:textId="719B7C3F" w:rsidR="00346F63" w:rsidRDefault="004E7A60" w:rsidP="00346F63">
      <w:pPr>
        <w:pStyle w:val="Heading3"/>
      </w:pPr>
      <w:bookmarkStart w:id="73" w:name="_Toc158376358"/>
      <w:r w:rsidRPr="009F2799">
        <w:t>Modeling</w:t>
      </w:r>
      <w:bookmarkEnd w:id="73"/>
    </w:p>
    <w:p w14:paraId="2C57A733" w14:textId="0BD4E351" w:rsidR="004E7A60" w:rsidRDefault="004E7A60" w:rsidP="00EA03DD">
      <w:pPr>
        <w:pStyle w:val="BodyText"/>
      </w:pPr>
      <w:r>
        <w:t xml:space="preserve">The modeling methods we have developed via Models 1, 2, and 3 are useful for OSW transmission design, where each one provides a different view on the problem; their effectiveness is enhanced when they are used in an integrated fashion, with one tool enhancing results of another tool. Since the best way to mature analytical study tools of this nature is to use them, additional studies using these tools should continue while simultaneously refining and extending them. This work should be done in conjunction with standard analysis tools including AC power flow and stability analysis. </w:t>
      </w:r>
    </w:p>
    <w:p w14:paraId="31A05918" w14:textId="74FA72BF" w:rsidR="00346F63" w:rsidRDefault="004E7A60" w:rsidP="00346F63">
      <w:pPr>
        <w:pStyle w:val="Heading3"/>
      </w:pPr>
      <w:bookmarkStart w:id="74" w:name="_Toc158376359"/>
      <w:r w:rsidRPr="00C417EA">
        <w:t>POI selection</w:t>
      </w:r>
      <w:bookmarkEnd w:id="74"/>
    </w:p>
    <w:p w14:paraId="4FB6FBFC" w14:textId="2A84B4D7" w:rsidR="004E7A60" w:rsidRPr="006642F8" w:rsidRDefault="006931C0" w:rsidP="00EA03DD">
      <w:pPr>
        <w:pStyle w:val="BodyText"/>
      </w:pPr>
      <w:r>
        <w:t>Our models indicate</w:t>
      </w:r>
      <w:r w:rsidR="004E7A60">
        <w:t xml:space="preserve"> that in the ISO-NE region, Maguire Rd. 345, Carver 345, and Millstone 345 kV substations are robust; in the NYISO region, East Farragut 345 and West Farragut 345 are robust; in the PJM region, Larabee 230, Cardiff 230, Indian River 230, and Landstown 230 kV substations are robust; and in the South (Carolina’s), Sutton 230 and Winyah 230 kV are robust. The expression of “robust” in this context is that both Model 1 and Model 2 are indicating these substations accommodate significant OSW injection with relatively low onshore transmission expansion cost, where the onshore transmission expansion cost includes costs for onshore AC transmission expansion, onshore AC substation, HVDC reach circuit, and HVDC converter station located at the POI. Although inclusion in this list of a substation is strong indication the substation has attractive qualities and should definitely receive continued consideration as a POI, the exclusion in this list of a substation does not necessarily mean it should not receive further consideration.</w:t>
      </w:r>
    </w:p>
    <w:p w14:paraId="25E6B2D5" w14:textId="6031AC11" w:rsidR="00346F63" w:rsidRDefault="004E7A60" w:rsidP="00346F63">
      <w:pPr>
        <w:pStyle w:val="Heading3"/>
      </w:pPr>
      <w:bookmarkStart w:id="75" w:name="_Toc158376360"/>
      <w:r w:rsidRPr="002F7ED2">
        <w:lastRenderedPageBreak/>
        <w:t>OSG design</w:t>
      </w:r>
      <w:bookmarkEnd w:id="75"/>
    </w:p>
    <w:p w14:paraId="39EDC8CA" w14:textId="721189F7" w:rsidR="004E7A60" w:rsidRDefault="004E7A60" w:rsidP="00EA03DD">
      <w:pPr>
        <w:pStyle w:val="BodyText"/>
      </w:pPr>
      <w:r>
        <w:t>The backbone transmission design is where one or more HVDC submarine bipole transmission lines are run offshore for parts of, or possibly all of the coast from Maine to the Carolinas, interconnecting wind plants with landfalls and POIs. For high East Coast OSW growth this design offers significant benefits in terms of cost, reliability, and expandability. We have used our Model 2 to explore various OSG transmission topologies, and we believe we have in this report identified a reasonable one. Although our Model 2, an LP, identifies appropriate segment capacities for a given multi-segment topology, the LP calculation must be repeated for different topologies explored. This motivates the application of a mixed integer linear program (MILP), because such an optimizer is capable of making integer decisions, which are the kind of decisions needed for transmission design problems that are topological. However, MILPs are much more computational than LPs, i.e., they require much longer compute times, and so the question here is whether we can develop a MILP for the East Coast transmission design problem that is computationally tractable, i.e., that solves in hours and not weeks or months. The other extreme is to use an LP heuristically, essentially what we have done in this project, by iteratively solving it, adjusting constraints based on the solution, and resolving it. There are various other approaches that may be of interest here, including limiting the number of integer variables and iteratively running an LP and a MILP in sequence.</w:t>
      </w:r>
    </w:p>
    <w:p w14:paraId="0F2F61E2" w14:textId="77777777" w:rsidR="00346F63" w:rsidRDefault="004E7A60" w:rsidP="00346F63">
      <w:pPr>
        <w:pStyle w:val="Heading3"/>
      </w:pPr>
      <w:bookmarkStart w:id="76" w:name="_Toc158376361"/>
      <w:r w:rsidRPr="002F7ED2">
        <w:t>Macrogrid</w:t>
      </w:r>
      <w:bookmarkEnd w:id="76"/>
    </w:p>
    <w:p w14:paraId="75E0E135" w14:textId="37EA39CC" w:rsidR="00F37ECF" w:rsidRDefault="004E7A60" w:rsidP="00EA03DD">
      <w:pPr>
        <w:pStyle w:val="BodyText"/>
      </w:pPr>
      <w:r>
        <w:t xml:space="preserve">The Macrogrid, a multiregional high capacity HVDC transmission grid overlaying the existing US high voltage AC grid, is shown using Model 3 to provide a net benefit, i.e., it provides savings (mainly due to fuel, operations and maintenance, operational reserves, and generation investment) that are significantly higher than its cost. This feature is observable with or without high levels of East Coast OSW. There are two subtle but overridingly important influences of the Macrogrid on East Coast OSW. </w:t>
      </w:r>
    </w:p>
    <w:p w14:paraId="112FD37E" w14:textId="77777777" w:rsidR="00346F63" w:rsidRDefault="004E7A60" w:rsidP="00346F63">
      <w:pPr>
        <w:pStyle w:val="Heading4"/>
      </w:pPr>
      <w:bookmarkStart w:id="77" w:name="_Toc158376362"/>
      <w:r>
        <w:t>Number of AC onshore expansion projects</w:t>
      </w:r>
      <w:bookmarkEnd w:id="77"/>
    </w:p>
    <w:p w14:paraId="211842DB" w14:textId="70C6AEE1" w:rsidR="004E7A60" w:rsidRDefault="004E7A60" w:rsidP="00EA03DD">
      <w:pPr>
        <w:pStyle w:val="BodyText"/>
      </w:pPr>
      <w:r>
        <w:t>The first influence is that the Macrogrid significantly reduces the amount of AC onshore expansion cost for a given level of OSW. Th</w:t>
      </w:r>
      <w:r w:rsidR="00DA2BA1">
        <w:t>e</w:t>
      </w:r>
      <w:r>
        <w:t xml:space="preserve"> importance of this influence is not as much related to a dollar savings as it is complexity, and perhaps, feasibility. If cost is directly related to number of projects, then without the Macrogrid, the number of onshore AC transmission expansion projects will be 40% higher than what they would be with the Macrogrid. In essence, the Macrogrid translates a very large number of relatively small capacity projects to a very small number of very large capacity projects. This makes the task of onshore AC transmission expansion much less complex. Indeed, given the difficulty of building new onshore AC </w:t>
      </w:r>
      <w:r>
        <w:lastRenderedPageBreak/>
        <w:t>transmission, for large OSW levels, the Macrogrid may convert what is otherwise an infeasible onshore AC transmission expansion task into a feasible one.</w:t>
      </w:r>
    </w:p>
    <w:p w14:paraId="3985BBF3" w14:textId="77777777" w:rsidR="00346F63" w:rsidRDefault="004E7A60" w:rsidP="00346F63">
      <w:pPr>
        <w:pStyle w:val="Heading4"/>
      </w:pPr>
      <w:bookmarkStart w:id="78" w:name="_Toc158376363"/>
      <w:r>
        <w:t>Sharing of energy and services</w:t>
      </w:r>
      <w:bookmarkEnd w:id="78"/>
    </w:p>
    <w:p w14:paraId="3AC987E0" w14:textId="38A5539F" w:rsidR="004E7A60" w:rsidRDefault="004E7A60" w:rsidP="00EA03DD">
      <w:pPr>
        <w:pStyle w:val="BodyText"/>
      </w:pPr>
      <w:r>
        <w:t>The second influence is that the Macrogrid enables resource sharing throughout the nation, so that built resources everywhere can operate together, in a complementary fashion (e.g., Midwestern wind and East Coast OSW), both under normal conditions and especially under conditions following extreme events (e.g., extreme temperatures, hurricanes, derechos, floods, droughts, wildfires, extreme snow/ice, earthquakes, geomagnetic disturbances, cyber events, and cascading outages). There are significant economic benefits that accrue from this, but only under the condition that sufficient transmission. i.e., the Macrogrid, is available to facilitate the sharing.</w:t>
      </w:r>
    </w:p>
    <w:p w14:paraId="15630FEC" w14:textId="77777777" w:rsidR="00346F63" w:rsidRDefault="004E7A60" w:rsidP="00346F63">
      <w:pPr>
        <w:pStyle w:val="Heading3"/>
      </w:pPr>
      <w:bookmarkStart w:id="79" w:name="_Toc158376364"/>
      <w:r w:rsidRPr="002F7ED2">
        <w:t>Single-source contingency limits</w:t>
      </w:r>
      <w:r>
        <w:t xml:space="preserve"> (SSCL)</w:t>
      </w:r>
      <w:bookmarkEnd w:id="79"/>
    </w:p>
    <w:p w14:paraId="6B421766" w14:textId="371E02ED" w:rsidR="004E7A60" w:rsidRDefault="004E7A60" w:rsidP="00346F63">
      <w:pPr>
        <w:pStyle w:val="BodyText"/>
      </w:pPr>
      <w:r>
        <w:t>SSCL limitations on the East Coast have been and are now at or below 2000 MW. This restricts the level of capacity that can be brought to landfalls and to POI substations by the offshore HVDC network. We recognize the risk associated with outage of such single sources, where loss of a single piece of equipment can cause an instantaneous loss of a large injection at that bus, causing immediate change in power flows throughout the network, resulting in network performance risk - the potential of overload, voltage depression and possible collapse, and transients that cause out-of-step, unstable conditions. However, adhering to SSCL causes OSG transmission design to utilize a large number of landfalls and associated POIs, with each landfall requiring infrastructure development at or near the coast – typically an environmentally sensitive area. In this work, we have assumed a SSCL of 6000 MW to enable landfall capacities to be that large and thus reduce the number of landfalls. Doing this without incurring the above-described risks is work that is needed, and we think we are well-positioned to do. Our approach is to utilize so-called remedial action schemes (RAS), including, for example, generation tripping, shunt capacitor insertion, and HVDC converter controls. The effect of RAS to mitigate network performance risks is enhanced by the OSG HVDC backbone transmission design, which provides all OSW plants with multiple paths to the onshore grid. We would explore RAS to mitigate network performance risks using PSS\E power flow and transient stability analysis to examine the performance of various RAS following the trip of a 6000 MW landfall interconnect. RAS has been extensively used in the US Western Interconnection; the fact that RAS has not been so heavily used in the US Eastern Interconnection reflects a cultural difference in engineering perspectives. In performing RAS design and testing, we will need to be sensitive to this difference.</w:t>
      </w:r>
    </w:p>
    <w:p w14:paraId="7C033E9F" w14:textId="396E1D56" w:rsidR="00DA2BA1" w:rsidRDefault="00DA2BA1" w:rsidP="00DA2BA1">
      <w:pPr>
        <w:pStyle w:val="Heading2"/>
      </w:pPr>
      <w:bookmarkStart w:id="80" w:name="_Toc158376365"/>
      <w:r>
        <w:lastRenderedPageBreak/>
        <w:t>HVDC Technology</w:t>
      </w:r>
      <w:bookmarkEnd w:id="80"/>
    </w:p>
    <w:p w14:paraId="6C07A601" w14:textId="64F71C0E" w:rsidR="00621BB7" w:rsidRDefault="00621BB7" w:rsidP="00621BB7">
      <w:pPr>
        <w:pStyle w:val="BodyText"/>
      </w:pPr>
      <w:r>
        <w:t xml:space="preserve">Picking up on the SSCL discussion in the previous section, one of the concerns about interconnecting bulk offshore wind power at only a few POIs, </w:t>
      </w:r>
      <w:r w:rsidRPr="00E37F00">
        <w:t>SS</w:t>
      </w:r>
      <w:r>
        <w:t>C</w:t>
      </w:r>
      <w:r w:rsidRPr="00E37F00">
        <w:t xml:space="preserve">L </w:t>
      </w:r>
      <w:r>
        <w:t xml:space="preserve">requirements from several ISOs around 1.5 GW. This implies that the N-1 limit of the loss of generator or major interconnection should be limited to 1.5 GW for on-shore connections. </w:t>
      </w:r>
    </w:p>
    <w:p w14:paraId="7C78656D" w14:textId="77EBD7F0" w:rsidR="00621BB7" w:rsidRDefault="00621BB7" w:rsidP="00621BB7">
      <w:pPr>
        <w:pStyle w:val="BodyText"/>
      </w:pPr>
      <w:r>
        <w:t xml:space="preserve">We recommend the 2 GW modular bi-pole HVDC connections will result in a single pole trip SSL of only 1 GW (50% of 2 GW) that is a key feature of these bi-pole designs. In addition to a bi-pole MTDC backbone design of around 4 GW, the added backbone will provide an additional path of interconnection and can thus limit a single POI loss to 1.33 GW (4 GW/3) which is still well within existing SSL limits. If these SSL limits are upgraded to 1.7 or 2 GW in the future the backbone may be strengthened to support a 6 GW backbone. The POI power limits and backbone may even be uprated further to 8 GW if </w:t>
      </w:r>
      <w:r w:rsidRPr="00E37F00">
        <w:t xml:space="preserve">Remedial Action Schemes (RAS) for protection coordination </w:t>
      </w:r>
      <w:r>
        <w:t xml:space="preserve">are implemented. </w:t>
      </w:r>
    </w:p>
    <w:p w14:paraId="31D80A8C" w14:textId="77777777" w:rsidR="00621BB7" w:rsidRDefault="00621BB7" w:rsidP="00621BB7">
      <w:pPr>
        <w:pStyle w:val="BodyText"/>
      </w:pPr>
      <w:r>
        <w:t xml:space="preserve">The proposed modular and upgradable bi-pole MTDC 4+ GW backbone provides an option for future expansions that is highly desirable to interconnect states and existing land-based RTOs with offshore wind resources through a possible future offshore independent system operator (O-ISO). This modular and expandable design also has the advantage to provide a standardized design for multi-vendor systems that can operate together on the same backbone.  </w:t>
      </w:r>
      <w:r w:rsidRPr="008A565B">
        <w:t xml:space="preserve"> </w:t>
      </w:r>
    </w:p>
    <w:p w14:paraId="132DCB3D" w14:textId="1761830F" w:rsidR="00621BB7" w:rsidRPr="00621BB7" w:rsidRDefault="00621BB7" w:rsidP="00621BB7">
      <w:pPr>
        <w:pStyle w:val="BodyText"/>
      </w:pPr>
      <w:r>
        <w:t>From all the above discussion, we propose that the offshore MTDC grid for the United States Atlantic Coast should have specifications listed in</w:t>
      </w:r>
      <w:r w:rsidR="00D016E1">
        <w:t xml:space="preserve"> </w:t>
      </w:r>
      <w:r w:rsidR="00D016E1">
        <w:fldChar w:fldCharType="begin"/>
      </w:r>
      <w:r w:rsidR="00D016E1">
        <w:instrText xml:space="preserve"> REF _Ref157249559 \h </w:instrText>
      </w:r>
      <w:r w:rsidR="00D016E1">
        <w:fldChar w:fldCharType="separate"/>
      </w:r>
      <w:r w:rsidR="00F37ECF">
        <w:t xml:space="preserve">Table </w:t>
      </w:r>
      <w:r w:rsidR="00F37ECF">
        <w:rPr>
          <w:noProof/>
        </w:rPr>
        <w:t>7</w:t>
      </w:r>
      <w:r w:rsidR="00D016E1">
        <w:fldChar w:fldCharType="end"/>
      </w:r>
      <w:r>
        <w:t>.</w:t>
      </w:r>
    </w:p>
    <w:p w14:paraId="54F466F6" w14:textId="0EC82365" w:rsidR="00621BB7" w:rsidRDefault="00621BB7" w:rsidP="00621BB7">
      <w:pPr>
        <w:pStyle w:val="Caption"/>
      </w:pPr>
      <w:bookmarkStart w:id="81" w:name="_Ref157249559"/>
      <w:bookmarkStart w:id="82" w:name="_Toc158376309"/>
      <w:r>
        <w:t xml:space="preserve">Table </w:t>
      </w:r>
      <w:r>
        <w:fldChar w:fldCharType="begin"/>
      </w:r>
      <w:r>
        <w:instrText xml:space="preserve"> SEQ Table \* ARABIC </w:instrText>
      </w:r>
      <w:r>
        <w:fldChar w:fldCharType="separate"/>
      </w:r>
      <w:r w:rsidR="00F37ECF">
        <w:rPr>
          <w:noProof/>
        </w:rPr>
        <w:t>7</w:t>
      </w:r>
      <w:r>
        <w:rPr>
          <w:noProof/>
        </w:rPr>
        <w:fldChar w:fldCharType="end"/>
      </w:r>
      <w:bookmarkEnd w:id="81"/>
      <w:r>
        <w:t>. Proposed specifications for MTDC OSG for North America</w:t>
      </w:r>
      <w:bookmarkEnd w:id="82"/>
    </w:p>
    <w:tbl>
      <w:tblPr>
        <w:tblStyle w:val="PlainTable2"/>
        <w:tblW w:w="0" w:type="auto"/>
        <w:jc w:val="center"/>
        <w:tblLook w:val="04A0" w:firstRow="1" w:lastRow="0" w:firstColumn="1" w:lastColumn="0" w:noHBand="0" w:noVBand="1"/>
      </w:tblPr>
      <w:tblGrid>
        <w:gridCol w:w="3780"/>
        <w:gridCol w:w="3600"/>
      </w:tblGrid>
      <w:tr w:rsidR="00621BB7" w14:paraId="7E48B57A" w14:textId="77777777" w:rsidTr="00874DE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780" w:type="dxa"/>
          </w:tcPr>
          <w:p w14:paraId="5EDA99A2" w14:textId="77777777" w:rsidR="00621BB7" w:rsidRPr="00434527" w:rsidRDefault="00621BB7" w:rsidP="00874DEA">
            <w:pPr>
              <w:pStyle w:val="BodyText"/>
              <w:spacing w:after="0"/>
              <w:jc w:val="center"/>
              <w:rPr>
                <w:sz w:val="24"/>
                <w:szCs w:val="24"/>
              </w:rPr>
            </w:pPr>
            <w:r w:rsidRPr="00434527">
              <w:rPr>
                <w:sz w:val="24"/>
                <w:szCs w:val="24"/>
              </w:rPr>
              <w:t>Parameter</w:t>
            </w:r>
          </w:p>
        </w:tc>
        <w:tc>
          <w:tcPr>
            <w:tcW w:w="3600" w:type="dxa"/>
          </w:tcPr>
          <w:p w14:paraId="0344B7B8" w14:textId="77777777" w:rsidR="00621BB7" w:rsidRPr="00434527" w:rsidRDefault="00621BB7" w:rsidP="00874DEA">
            <w:pPr>
              <w:pStyle w:val="BodyText"/>
              <w:spacing w:after="0"/>
              <w:jc w:val="center"/>
              <w:cnfStyle w:val="100000000000" w:firstRow="1" w:lastRow="0" w:firstColumn="0" w:lastColumn="0" w:oddVBand="0" w:evenVBand="0" w:oddHBand="0" w:evenHBand="0" w:firstRowFirstColumn="0" w:firstRowLastColumn="0" w:lastRowFirstColumn="0" w:lastRowLastColumn="0"/>
              <w:rPr>
                <w:sz w:val="24"/>
                <w:szCs w:val="24"/>
              </w:rPr>
            </w:pPr>
            <w:r w:rsidRPr="00434527">
              <w:rPr>
                <w:sz w:val="24"/>
                <w:szCs w:val="24"/>
              </w:rPr>
              <w:t>Value</w:t>
            </w:r>
          </w:p>
        </w:tc>
      </w:tr>
      <w:tr w:rsidR="00621BB7" w14:paraId="4D92EA55" w14:textId="77777777" w:rsidTr="00874DE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780" w:type="dxa"/>
          </w:tcPr>
          <w:p w14:paraId="46670CE6" w14:textId="77777777" w:rsidR="00621BB7" w:rsidRPr="00315DED" w:rsidRDefault="00621BB7" w:rsidP="00874DEA">
            <w:pPr>
              <w:pStyle w:val="BodyText"/>
              <w:spacing w:after="0"/>
              <w:jc w:val="center"/>
              <w:rPr>
                <w:b w:val="0"/>
                <w:bCs w:val="0"/>
                <w:sz w:val="24"/>
                <w:szCs w:val="24"/>
              </w:rPr>
            </w:pPr>
            <w:r w:rsidRPr="00315DED">
              <w:rPr>
                <w:b w:val="0"/>
                <w:bCs w:val="0"/>
                <w:sz w:val="24"/>
                <w:szCs w:val="24"/>
              </w:rPr>
              <w:t>Converter technology</w:t>
            </w:r>
          </w:p>
        </w:tc>
        <w:tc>
          <w:tcPr>
            <w:tcW w:w="3600" w:type="dxa"/>
          </w:tcPr>
          <w:p w14:paraId="7A669C9B" w14:textId="77777777" w:rsidR="00621BB7" w:rsidRPr="00434527" w:rsidRDefault="00621BB7" w:rsidP="00874DEA">
            <w:pPr>
              <w:pStyle w:val="BodyText"/>
              <w:spacing w:after="0"/>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Bi-pole VSC-HVDC</w:t>
            </w:r>
          </w:p>
        </w:tc>
      </w:tr>
      <w:tr w:rsidR="00621BB7" w14:paraId="44DBE248" w14:textId="77777777" w:rsidTr="00874DEA">
        <w:trPr>
          <w:jc w:val="center"/>
        </w:trPr>
        <w:tc>
          <w:tcPr>
            <w:cnfStyle w:val="001000000000" w:firstRow="0" w:lastRow="0" w:firstColumn="1" w:lastColumn="0" w:oddVBand="0" w:evenVBand="0" w:oddHBand="0" w:evenHBand="0" w:firstRowFirstColumn="0" w:firstRowLastColumn="0" w:lastRowFirstColumn="0" w:lastRowLastColumn="0"/>
            <w:tcW w:w="3780" w:type="dxa"/>
          </w:tcPr>
          <w:p w14:paraId="18349AD2" w14:textId="77777777" w:rsidR="00621BB7" w:rsidRPr="00434527" w:rsidRDefault="00621BB7" w:rsidP="00874DEA">
            <w:pPr>
              <w:pStyle w:val="BodyText"/>
              <w:spacing w:after="0"/>
              <w:jc w:val="center"/>
              <w:rPr>
                <w:b w:val="0"/>
                <w:bCs w:val="0"/>
              </w:rPr>
            </w:pPr>
            <w:r w:rsidRPr="00434527">
              <w:rPr>
                <w:b w:val="0"/>
                <w:bCs w:val="0"/>
              </w:rPr>
              <w:t>Rated voltage</w:t>
            </w:r>
          </w:p>
        </w:tc>
        <w:tc>
          <w:tcPr>
            <w:tcW w:w="3600" w:type="dxa"/>
          </w:tcPr>
          <w:p w14:paraId="352418E5" w14:textId="77777777" w:rsidR="00621BB7" w:rsidRPr="00434527" w:rsidRDefault="00621BB7" w:rsidP="00874DEA">
            <w:pPr>
              <w:pStyle w:val="BodyText"/>
              <w:spacing w:after="0"/>
              <w:jc w:val="center"/>
              <w:cnfStyle w:val="000000000000" w:firstRow="0" w:lastRow="0" w:firstColumn="0" w:lastColumn="0" w:oddVBand="0" w:evenVBand="0" w:oddHBand="0" w:evenHBand="0" w:firstRowFirstColumn="0" w:firstRowLastColumn="0" w:lastRowFirstColumn="0" w:lastRowLastColumn="0"/>
            </w:pPr>
            <w:r w:rsidRPr="00434527">
              <w:t>525</w:t>
            </w:r>
            <w:r>
              <w:t xml:space="preserve"> </w:t>
            </w:r>
            <w:r w:rsidRPr="00434527">
              <w:t>kV</w:t>
            </w:r>
            <w:r>
              <w:t xml:space="preserve"> DC</w:t>
            </w:r>
          </w:p>
        </w:tc>
      </w:tr>
      <w:tr w:rsidR="00621BB7" w14:paraId="5673C8BA" w14:textId="77777777" w:rsidTr="00874DE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780" w:type="dxa"/>
          </w:tcPr>
          <w:p w14:paraId="4284BCDF" w14:textId="77777777" w:rsidR="00621BB7" w:rsidRPr="00253642" w:rsidRDefault="00621BB7" w:rsidP="00874DEA">
            <w:pPr>
              <w:pStyle w:val="BodyText"/>
              <w:spacing w:after="0"/>
              <w:jc w:val="center"/>
              <w:rPr>
                <w:b w:val="0"/>
                <w:bCs w:val="0"/>
              </w:rPr>
            </w:pPr>
            <w:r w:rsidRPr="00253642">
              <w:rPr>
                <w:b w:val="0"/>
                <w:bCs w:val="0"/>
              </w:rPr>
              <w:t>Rated power (Upgradable &amp; Modular)</w:t>
            </w:r>
          </w:p>
        </w:tc>
        <w:tc>
          <w:tcPr>
            <w:tcW w:w="3600" w:type="dxa"/>
          </w:tcPr>
          <w:p w14:paraId="794E933F" w14:textId="77777777" w:rsidR="00621BB7" w:rsidRPr="00253642" w:rsidRDefault="00621BB7" w:rsidP="00621BB7">
            <w:pPr>
              <w:pStyle w:val="BodyText"/>
              <w:numPr>
                <w:ilvl w:val="0"/>
                <w:numId w:val="44"/>
              </w:numPr>
              <w:spacing w:after="0"/>
              <w:jc w:val="center"/>
              <w:cnfStyle w:val="000000100000" w:firstRow="0" w:lastRow="0" w:firstColumn="0" w:lastColumn="0" w:oddVBand="0" w:evenVBand="0" w:oddHBand="1" w:evenHBand="0" w:firstRowFirstColumn="0" w:firstRowLastColumn="0" w:lastRowFirstColumn="0" w:lastRowLastColumn="0"/>
            </w:pPr>
            <w:r w:rsidRPr="00253642">
              <w:t xml:space="preserve">4 GW </w:t>
            </w:r>
          </w:p>
        </w:tc>
      </w:tr>
      <w:tr w:rsidR="00621BB7" w14:paraId="6EA80643" w14:textId="77777777" w:rsidTr="00874DEA">
        <w:trPr>
          <w:jc w:val="center"/>
        </w:trPr>
        <w:tc>
          <w:tcPr>
            <w:cnfStyle w:val="001000000000" w:firstRow="0" w:lastRow="0" w:firstColumn="1" w:lastColumn="0" w:oddVBand="0" w:evenVBand="0" w:oddHBand="0" w:evenHBand="0" w:firstRowFirstColumn="0" w:firstRowLastColumn="0" w:lastRowFirstColumn="0" w:lastRowLastColumn="0"/>
            <w:tcW w:w="3780" w:type="dxa"/>
          </w:tcPr>
          <w:p w14:paraId="32E876B1" w14:textId="77777777" w:rsidR="00621BB7" w:rsidRPr="00434527" w:rsidRDefault="00621BB7" w:rsidP="00874DEA">
            <w:pPr>
              <w:pStyle w:val="BodyText"/>
              <w:spacing w:after="0" w:line="240" w:lineRule="auto"/>
              <w:jc w:val="center"/>
              <w:rPr>
                <w:b w:val="0"/>
                <w:bCs w:val="0"/>
              </w:rPr>
            </w:pPr>
            <w:r w:rsidRPr="00434527">
              <w:rPr>
                <w:b w:val="0"/>
                <w:bCs w:val="0"/>
              </w:rPr>
              <w:t>Offshore/Onshore Converter station power rating</w:t>
            </w:r>
          </w:p>
        </w:tc>
        <w:tc>
          <w:tcPr>
            <w:tcW w:w="3600" w:type="dxa"/>
          </w:tcPr>
          <w:p w14:paraId="1B1E2617" w14:textId="77777777" w:rsidR="00621BB7" w:rsidRDefault="00621BB7" w:rsidP="00874DEA">
            <w:pPr>
              <w:pStyle w:val="BodyText"/>
              <w:spacing w:after="0"/>
              <w:jc w:val="center"/>
              <w:cnfStyle w:val="000000000000" w:firstRow="0" w:lastRow="0" w:firstColumn="0" w:lastColumn="0" w:oddVBand="0" w:evenVBand="0" w:oddHBand="0" w:evenHBand="0" w:firstRowFirstColumn="0" w:firstRowLastColumn="0" w:lastRowFirstColumn="0" w:lastRowLastColumn="0"/>
            </w:pPr>
            <w:r>
              <w:t>Modular 2 GW, Bi-pole HVDC converter stations</w:t>
            </w:r>
          </w:p>
        </w:tc>
      </w:tr>
    </w:tbl>
    <w:p w14:paraId="4A33125D" w14:textId="77777777" w:rsidR="00DA2BA1" w:rsidRDefault="00DA2BA1" w:rsidP="00DA2BA1">
      <w:pPr>
        <w:pStyle w:val="BodyText"/>
      </w:pPr>
    </w:p>
    <w:p w14:paraId="63F8A44B" w14:textId="77777777" w:rsidR="00633694" w:rsidRPr="00CD0360" w:rsidRDefault="00633694" w:rsidP="00346F63">
      <w:pPr>
        <w:pStyle w:val="Heading3"/>
        <w:numPr>
          <w:ilvl w:val="2"/>
          <w:numId w:val="48"/>
        </w:numPr>
        <w:ind w:left="0"/>
      </w:pPr>
      <w:bookmarkStart w:id="83" w:name="_Toc115535968"/>
      <w:bookmarkStart w:id="84" w:name="_Toc158376366"/>
      <w:r w:rsidRPr="00346F63">
        <w:rPr>
          <w:rStyle w:val="Heading4Char"/>
          <w:b/>
        </w:rPr>
        <w:lastRenderedPageBreak/>
        <w:t>TenneT 2 GW OSW</w:t>
      </w:r>
      <w:r w:rsidRPr="00CD0360">
        <w:t xml:space="preserve"> Standard</w:t>
      </w:r>
      <w:bookmarkEnd w:id="83"/>
      <w:bookmarkEnd w:id="84"/>
    </w:p>
    <w:p w14:paraId="18305137" w14:textId="77777777" w:rsidR="00F37ECF" w:rsidRPr="00F37ECF" w:rsidRDefault="00633694" w:rsidP="00F37ECF">
      <w:pPr>
        <w:spacing w:line="360" w:lineRule="auto"/>
        <w:rPr>
          <w:rFonts w:ascii="Times New Roman" w:hAnsi="Times New Roman" w:cs="Times New Roman"/>
        </w:rPr>
      </w:pPr>
      <w:r>
        <w:rPr>
          <w:rFonts w:ascii="Times New Roman" w:hAnsi="Times New Roman"/>
        </w:rPr>
        <w:t xml:space="preserve">The majority of the HVDC projects (onshore and offshore) across Europe were initially built as point-to-point links. However, Europe has vigorous plans to transform these links into multi-terminal networks for enhanced reliability, resiliency, and efficiency as it advances towards its goal of carbon neutral by 2050 (See Deliverable D4.2). The TenneT is a transmission system operator (TSO) in Netherlands and Germany who is working on aggressive plans to standardize the HVDC offshore grid in parts of Europe. For cases where more power transmission demand exists than that can be handled by a single HVDC network, </w:t>
      </w:r>
      <w:r w:rsidR="00E22713">
        <w:rPr>
          <w:rFonts w:ascii="Times New Roman" w:hAnsi="Times New Roman"/>
        </w:rPr>
        <w:t>the TenneT 2GW standard</w:t>
      </w:r>
      <w:r>
        <w:rPr>
          <w:rFonts w:ascii="Times New Roman" w:hAnsi="Times New Roman"/>
        </w:rPr>
        <w:t xml:space="preserve"> suggests utilizing multiple identical blocks thus forming a cluster of similar offshore systems. This standardization helps to achieve reliability, redundancy, and facilitates in operation and maintenance, thus optimizing capital expense (CAPEX) and operational expense (OPEX). </w:t>
      </w:r>
      <w:r w:rsidR="00E22713">
        <w:rPr>
          <w:rFonts w:ascii="Times New Roman" w:hAnsi="Times New Roman"/>
        </w:rPr>
        <w:t>This standard also</w:t>
      </w:r>
      <w:r>
        <w:rPr>
          <w:rFonts w:ascii="Times New Roman" w:hAnsi="Times New Roman"/>
        </w:rPr>
        <w:t xml:space="preserve"> suggests 2 GW standardized grid-connected system blocks capable of transferring 2 GW of offshore wind power from offshore to onshore converter station utilizing 525 kV HVDC transmission line.  It is important to mention that voltage source converters (VSCs) are already available in this range for onshore HVDC systems. A single 2 GW offshore HVDC system as suggested by TenneT is </w:t>
      </w:r>
      <w:r w:rsidRPr="00E22713">
        <w:rPr>
          <w:rFonts w:ascii="Times New Roman" w:hAnsi="Times New Roman" w:cs="Times New Roman"/>
        </w:rPr>
        <w:t>shown in</w:t>
      </w:r>
      <w:r w:rsidR="00E22713" w:rsidRPr="00E22713">
        <w:rPr>
          <w:rFonts w:ascii="Times New Roman" w:hAnsi="Times New Roman" w:cs="Times New Roman"/>
        </w:rPr>
        <w:t xml:space="preserve"> </w:t>
      </w:r>
      <w:r w:rsidR="00E22713" w:rsidRPr="00E22713">
        <w:rPr>
          <w:rFonts w:ascii="Times New Roman" w:hAnsi="Times New Roman" w:cs="Times New Roman"/>
        </w:rPr>
        <w:fldChar w:fldCharType="begin"/>
      </w:r>
      <w:r w:rsidR="00E22713" w:rsidRPr="00E22713">
        <w:rPr>
          <w:rFonts w:ascii="Times New Roman" w:hAnsi="Times New Roman" w:cs="Times New Roman"/>
        </w:rPr>
        <w:instrText xml:space="preserve"> REF _Ref157248170 \h </w:instrText>
      </w:r>
      <w:r w:rsidR="00E22713">
        <w:rPr>
          <w:rFonts w:ascii="Times New Roman" w:hAnsi="Times New Roman" w:cs="Times New Roman"/>
        </w:rPr>
        <w:instrText xml:space="preserve"> \* MERGEFORMAT </w:instrText>
      </w:r>
      <w:r w:rsidR="00E22713" w:rsidRPr="00E22713">
        <w:rPr>
          <w:rFonts w:ascii="Times New Roman" w:hAnsi="Times New Roman" w:cs="Times New Roman"/>
        </w:rPr>
      </w:r>
      <w:r w:rsidR="00E22713" w:rsidRPr="00E22713">
        <w:rPr>
          <w:rFonts w:ascii="Times New Roman" w:hAnsi="Times New Roman" w:cs="Times New Roman"/>
        </w:rPr>
        <w:fldChar w:fldCharType="separate"/>
      </w:r>
    </w:p>
    <w:p w14:paraId="1A8C1075" w14:textId="27A0F024" w:rsidR="00346F63" w:rsidRPr="00F37ECF" w:rsidRDefault="00F37ECF" w:rsidP="00F37ECF">
      <w:pPr>
        <w:spacing w:line="360" w:lineRule="auto"/>
        <w:rPr>
          <w:rFonts w:ascii="Times New Roman" w:hAnsi="Times New Roman"/>
        </w:rPr>
      </w:pPr>
      <w:r w:rsidRPr="00F37ECF">
        <w:rPr>
          <w:rFonts w:ascii="Times New Roman" w:hAnsi="Times New Roman" w:cs="Times New Roman"/>
        </w:rPr>
        <w:t>Figure</w:t>
      </w:r>
      <w:r w:rsidRPr="00F37ECF">
        <w:rPr>
          <w:rFonts w:ascii="Times New Roman" w:hAnsi="Times New Roman" w:cs="Times New Roman"/>
          <w:noProof/>
        </w:rPr>
        <w:t xml:space="preserve"> </w:t>
      </w:r>
      <w:r>
        <w:rPr>
          <w:noProof/>
        </w:rPr>
        <w:t>4</w:t>
      </w:r>
      <w:r w:rsidR="00E22713" w:rsidRPr="00E22713">
        <w:rPr>
          <w:rFonts w:ascii="Times New Roman" w:hAnsi="Times New Roman" w:cs="Times New Roman"/>
        </w:rPr>
        <w:fldChar w:fldCharType="end"/>
      </w:r>
      <w:r w:rsidR="00633694" w:rsidRPr="00E22713">
        <w:rPr>
          <w:rFonts w:ascii="Times New Roman" w:hAnsi="Times New Roman" w:cs="Times New Roman"/>
        </w:rPr>
        <w:t>.</w:t>
      </w:r>
      <w:r w:rsidR="00633694">
        <w:rPr>
          <w:rFonts w:ascii="Times New Roman" w:hAnsi="Times New Roman"/>
        </w:rPr>
        <w:t xml:space="preserve"> These standardized designs are capable of handling HVDC equipment from multiple vendors that includes HVDC transformers, auxiliary power system, protection devices including AC/DC switchyard, gas-insulated system (GIS), and harmonize automation, network architecture, cooling concepts, and systems operations. </w:t>
      </w:r>
      <w:bookmarkStart w:id="85" w:name="_Ref157248170"/>
    </w:p>
    <w:p w14:paraId="47CE14F0" w14:textId="53B3013F" w:rsidR="00E22713" w:rsidRDefault="00E22713" w:rsidP="00346F63">
      <w:pPr>
        <w:pStyle w:val="Caption"/>
        <w:jc w:val="center"/>
      </w:pPr>
      <w:bookmarkStart w:id="86" w:name="_Toc158376235"/>
      <w:r>
        <w:t xml:space="preserve">Figure </w:t>
      </w:r>
      <w:r>
        <w:fldChar w:fldCharType="begin"/>
      </w:r>
      <w:r>
        <w:instrText xml:space="preserve"> SEQ Figure \* ARABIC </w:instrText>
      </w:r>
      <w:r>
        <w:fldChar w:fldCharType="separate"/>
      </w:r>
      <w:r w:rsidR="00F37ECF">
        <w:rPr>
          <w:noProof/>
        </w:rPr>
        <w:t>4</w:t>
      </w:r>
      <w:r>
        <w:rPr>
          <w:noProof/>
        </w:rPr>
        <w:fldChar w:fldCharType="end"/>
      </w:r>
      <w:bookmarkEnd w:id="85"/>
      <w:r>
        <w:t>. TenneT 2 GW offshore HVDC grid connected system.</w:t>
      </w:r>
      <w:bookmarkEnd w:id="86"/>
    </w:p>
    <w:p w14:paraId="4607F442" w14:textId="324999CD" w:rsidR="00E22713" w:rsidRPr="0059178C" w:rsidRDefault="00E22713" w:rsidP="00346F63">
      <w:pPr>
        <w:pStyle w:val="BodyText"/>
        <w:spacing w:line="276" w:lineRule="auto"/>
        <w:jc w:val="center"/>
        <w:rPr>
          <w:lang w:val="fr-FR"/>
        </w:rPr>
      </w:pPr>
      <w:r w:rsidRPr="002946DE">
        <w:rPr>
          <w:rFonts w:eastAsiaTheme="majorEastAsia" w:cstheme="majorBidi"/>
          <w:bCs/>
          <w:i/>
          <w:sz w:val="16"/>
          <w:szCs w:val="28"/>
        </w:rPr>
        <w:t>Next Generation Offshore Grid Connection Systems: TenneT’s 2 GW Standard</w:t>
      </w:r>
      <w:r>
        <w:rPr>
          <w:rFonts w:eastAsiaTheme="majorEastAsia" w:cstheme="majorBidi"/>
          <w:bCs/>
          <w:i/>
          <w:sz w:val="16"/>
          <w:szCs w:val="28"/>
        </w:rPr>
        <w:t>, [Online].</w:t>
      </w:r>
      <w:r w:rsidRPr="00CB4DCC">
        <w:rPr>
          <w:rFonts w:eastAsiaTheme="majorEastAsia" w:cstheme="majorBidi"/>
          <w:bCs/>
          <w:i/>
          <w:sz w:val="16"/>
          <w:szCs w:val="28"/>
        </w:rPr>
        <w:t xml:space="preserve"> </w:t>
      </w:r>
      <w:r w:rsidRPr="0059178C">
        <w:rPr>
          <w:rFonts w:eastAsiaTheme="majorEastAsia" w:cstheme="majorBidi"/>
          <w:bCs/>
          <w:i/>
          <w:sz w:val="16"/>
          <w:szCs w:val="28"/>
          <w:lang w:val="fr-FR"/>
        </w:rPr>
        <w:t xml:space="preserve">Available: </w:t>
      </w:r>
      <w:hyperlink r:id="rId25" w:anchor=":~:text=With%20the%202%20GW%20standard,Sea%20in%20the%20near%20future" w:history="1">
        <w:r w:rsidRPr="0059178C">
          <w:rPr>
            <w:rStyle w:val="Hyperlink"/>
            <w:rFonts w:eastAsiaTheme="majorEastAsia" w:cstheme="majorBidi"/>
            <w:bCs/>
            <w:i/>
            <w:sz w:val="16"/>
            <w:szCs w:val="28"/>
            <w:lang w:val="fr-FR"/>
          </w:rPr>
          <w:t>https://electra.cigre.org/321-april-2022/technology-e2e/next-generation-offshore-grid-connection-systems-tennets-2-gw-standard.html#:~:text=With%20the%202%20GW%20standard,Sea%20in%20the%20near%20future</w:t>
        </w:r>
      </w:hyperlink>
      <w:r w:rsidRPr="0059178C">
        <w:rPr>
          <w:rFonts w:eastAsiaTheme="majorEastAsia" w:cstheme="majorBidi"/>
          <w:bCs/>
          <w:i/>
          <w:sz w:val="16"/>
          <w:szCs w:val="28"/>
          <w:lang w:val="fr-FR"/>
        </w:rPr>
        <w:t>.</w:t>
      </w:r>
    </w:p>
    <w:p w14:paraId="136044CE" w14:textId="77777777" w:rsidR="00633694" w:rsidRDefault="00633694" w:rsidP="00346F63">
      <w:pPr>
        <w:spacing w:line="360" w:lineRule="auto"/>
        <w:jc w:val="center"/>
        <w:rPr>
          <w:rFonts w:ascii="Times New Roman" w:hAnsi="Times New Roman"/>
        </w:rPr>
      </w:pPr>
      <w:r>
        <w:rPr>
          <w:noProof/>
        </w:rPr>
        <w:drawing>
          <wp:inline distT="0" distB="0" distL="0" distR="0" wp14:anchorId="63A02567" wp14:editId="44A945BF">
            <wp:extent cx="4114800" cy="2322576"/>
            <wp:effectExtent l="0" t="0" r="0" b="1905"/>
            <wp:docPr id="19" name="Picture 19"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Graphical user interface, application&#10;&#10;Description automatically generated"/>
                    <pic:cNvPicPr>
                      <a:picLocks noChangeAspect="1" noChangeArrowheads="1"/>
                    </pic:cNvPicPr>
                  </pic:nvPicPr>
                  <pic:blipFill>
                    <a:blip r:embed="rId26" cstate="print">
                      <a:extLst>
                        <a:ext uri="{BEBA8EAE-BF5A-486C-A8C5-ECC9F3942E4B}">
                          <a14:imgProps xmlns:a14="http://schemas.microsoft.com/office/drawing/2010/main">
                            <a14:imgLayer r:embed="rId27">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4114800" cy="2322576"/>
                    </a:xfrm>
                    <a:prstGeom prst="rect">
                      <a:avLst/>
                    </a:prstGeom>
                    <a:noFill/>
                    <a:ln>
                      <a:noFill/>
                    </a:ln>
                  </pic:spPr>
                </pic:pic>
              </a:graphicData>
            </a:graphic>
          </wp:inline>
        </w:drawing>
      </w:r>
    </w:p>
    <w:p w14:paraId="6F3C4928" w14:textId="77777777" w:rsidR="00633694" w:rsidRDefault="00633694" w:rsidP="00633694">
      <w:pPr>
        <w:spacing w:line="360" w:lineRule="auto"/>
        <w:rPr>
          <w:rFonts w:ascii="Times New Roman" w:hAnsi="Times New Roman"/>
        </w:rPr>
      </w:pPr>
    </w:p>
    <w:p w14:paraId="76CF77D1" w14:textId="464D32F0" w:rsidR="00633694" w:rsidRDefault="00633694" w:rsidP="00633694">
      <w:pPr>
        <w:pStyle w:val="BodyText"/>
      </w:pPr>
      <w:r>
        <w:t>From a technological perspective, the 2 GW standard employs bi-pole HVDC configuration with a metallic return as shown in</w:t>
      </w:r>
      <w:r w:rsidR="00E22713">
        <w:t xml:space="preserve"> </w:t>
      </w:r>
      <w:r w:rsidR="00E22713">
        <w:fldChar w:fldCharType="begin"/>
      </w:r>
      <w:r w:rsidR="00E22713">
        <w:instrText xml:space="preserve"> REF _Ref157248321 \h </w:instrText>
      </w:r>
      <w:r w:rsidR="00E22713">
        <w:fldChar w:fldCharType="separate"/>
      </w:r>
      <w:r w:rsidR="00F37ECF">
        <w:t xml:space="preserve">Figure </w:t>
      </w:r>
      <w:r w:rsidR="00F37ECF">
        <w:rPr>
          <w:noProof/>
        </w:rPr>
        <w:t>5</w:t>
      </w:r>
      <w:r w:rsidR="00E22713">
        <w:fldChar w:fldCharType="end"/>
      </w:r>
      <w:r>
        <w:t>. Non-metallic options may be more cost-effective using grounding electrodes</w:t>
      </w:r>
      <w:r w:rsidR="00E22713">
        <w:t xml:space="preserve"> </w:t>
      </w:r>
      <w:r>
        <w:t xml:space="preserve">but concerns about stray currents in underwater structures and pipelines need to be addressed.   </w:t>
      </w:r>
    </w:p>
    <w:p w14:paraId="10348989" w14:textId="77777777" w:rsidR="00633694" w:rsidRDefault="00633694" w:rsidP="00633694">
      <w:pPr>
        <w:pStyle w:val="BodyText"/>
      </w:pPr>
      <w:r>
        <w:t xml:space="preserve">All the sub-components of this 2 GW standard are commercially available from multiple vendors. </w:t>
      </w:r>
    </w:p>
    <w:p w14:paraId="4A8D02F1" w14:textId="77777777" w:rsidR="00633694" w:rsidRDefault="00633694" w:rsidP="00633694">
      <w:pPr>
        <w:pStyle w:val="BodyText"/>
      </w:pPr>
      <w:r>
        <w:t xml:space="preserve">This configuration has its inherent advantage of being able to work at half power transmission capacity in case of loss of one pole either due to a fault or for maintenance purposes. Another interesting feature of this design is the cross-coupling arrangement at the offshore grid side that enhances energy availability. Also, the bi-pole with metallic return is a modular design and expandable that provides an option for future expansions. This modular and expandable design can enable interconnection between states and existing RTOs with offshore wind resources through a future offshore independent system operator (O-ISO). This modular and expandable design also has the advantage of providing a standardized design for multi-vendor systems that operate together.  </w:t>
      </w:r>
      <w:r w:rsidRPr="008A565B">
        <w:t xml:space="preserve"> </w:t>
      </w:r>
    </w:p>
    <w:p w14:paraId="1EB6BDE8" w14:textId="6A7D2B76" w:rsidR="00633694" w:rsidRDefault="00633694" w:rsidP="00633694">
      <w:pPr>
        <w:pStyle w:val="BodyText"/>
      </w:pPr>
      <w:r>
        <w:t>The c</w:t>
      </w:r>
      <w:r w:rsidRPr="00E87C36">
        <w:t xml:space="preserve">lusters of </w:t>
      </w:r>
      <w:r>
        <w:t>2 GW</w:t>
      </w:r>
      <w:r w:rsidRPr="00E87C36">
        <w:t xml:space="preserve"> groups</w:t>
      </w:r>
      <w:r>
        <w:t xml:space="preserve"> connected to onshore network via single HVDC line were also suggested by PROMOTioN (</w:t>
      </w:r>
      <w:r w:rsidRPr="00E87C36">
        <w:t>Progress on Meshed HVDC offshore transmission networks</w:t>
      </w:r>
      <w:r>
        <w:t>) to be the most cost</w:t>
      </w:r>
      <w:r w:rsidR="00E22713">
        <w:t>-</w:t>
      </w:r>
      <w:r>
        <w:t xml:space="preserve">effective solution </w:t>
      </w:r>
      <w:r w:rsidR="001B7FFB">
        <w:t>(PROMOTioN, 2024)</w:t>
      </w:r>
      <w:r>
        <w:t>. PROMOTioN was a European Union (</w:t>
      </w:r>
      <w:r w:rsidRPr="00E87C36">
        <w:t>EU</w:t>
      </w:r>
      <w:r>
        <w:t xml:space="preserve">) </w:t>
      </w:r>
      <w:r w:rsidRPr="00E87C36">
        <w:t xml:space="preserve">funded project </w:t>
      </w:r>
      <w:r>
        <w:t xml:space="preserve">within the time duration </w:t>
      </w:r>
      <w:r w:rsidRPr="00E87C36">
        <w:t>2016-2020</w:t>
      </w:r>
      <w:r>
        <w:t>. The project a</w:t>
      </w:r>
      <w:r w:rsidRPr="00E87C36">
        <w:t>ddresse</w:t>
      </w:r>
      <w:r>
        <w:t>d</w:t>
      </w:r>
      <w:r w:rsidRPr="00E87C36">
        <w:t xml:space="preserve"> technical, legal, regulatory, economic, and financial challenges </w:t>
      </w:r>
      <w:r>
        <w:t>related to OSW</w:t>
      </w:r>
      <w:r w:rsidRPr="00E87C36">
        <w:t xml:space="preserve"> energy in</w:t>
      </w:r>
      <w:r>
        <w:t xml:space="preserve"> Europe. The project analysis involved </w:t>
      </w:r>
      <w:r w:rsidRPr="00E87C36">
        <w:t>200</w:t>
      </w:r>
      <w:r>
        <w:t xml:space="preserve"> </w:t>
      </w:r>
      <w:r w:rsidRPr="00E87C36">
        <w:t>GW of offshore wind energy in North Sea by 2050</w:t>
      </w:r>
      <w:r>
        <w:t xml:space="preserve">. The project suggested </w:t>
      </w:r>
      <w:r w:rsidRPr="00E87C36">
        <w:t>525</w:t>
      </w:r>
      <w:r>
        <w:t xml:space="preserve"> </w:t>
      </w:r>
      <w:r w:rsidRPr="00E87C36">
        <w:t xml:space="preserve">kV </w:t>
      </w:r>
      <w:r>
        <w:t>bi-pole</w:t>
      </w:r>
      <w:r w:rsidRPr="00E87C36">
        <w:t xml:space="preserve"> HVDC for</w:t>
      </w:r>
      <w:r>
        <w:t xml:space="preserve"> the</w:t>
      </w:r>
      <w:r w:rsidRPr="00E87C36">
        <w:t xml:space="preserve"> North Sea and 325kV monopole HVDC for </w:t>
      </w:r>
      <w:r>
        <w:t xml:space="preserve">the </w:t>
      </w:r>
      <w:r w:rsidRPr="00E87C36">
        <w:t>Irish Sea</w:t>
      </w:r>
      <w:r>
        <w:t xml:space="preserve">. This also highlights the significance of clusters of 2 GW groups for OSW power transmission to onshore power networks. </w:t>
      </w:r>
    </w:p>
    <w:p w14:paraId="21DE70FA" w14:textId="77777777" w:rsidR="00F37ECF" w:rsidRDefault="00F37ECF" w:rsidP="00633694">
      <w:pPr>
        <w:pStyle w:val="BodyText"/>
      </w:pPr>
    </w:p>
    <w:p w14:paraId="0AF06059" w14:textId="77777777" w:rsidR="00F37ECF" w:rsidRDefault="00F37ECF" w:rsidP="00633694">
      <w:pPr>
        <w:pStyle w:val="BodyText"/>
      </w:pPr>
    </w:p>
    <w:p w14:paraId="786B8E21" w14:textId="77777777" w:rsidR="00F37ECF" w:rsidRDefault="00F37ECF" w:rsidP="00633694">
      <w:pPr>
        <w:pStyle w:val="BodyText"/>
      </w:pPr>
    </w:p>
    <w:p w14:paraId="406E8528" w14:textId="77777777" w:rsidR="00F37ECF" w:rsidRDefault="00F37ECF" w:rsidP="00633694">
      <w:pPr>
        <w:pStyle w:val="BodyText"/>
      </w:pPr>
    </w:p>
    <w:p w14:paraId="5C41F636" w14:textId="73FCC7BE" w:rsidR="00E22713" w:rsidRDefault="00E22713" w:rsidP="00E22713">
      <w:pPr>
        <w:pStyle w:val="Caption"/>
        <w:jc w:val="center"/>
      </w:pPr>
      <w:bookmarkStart w:id="87" w:name="_Ref157248321"/>
      <w:bookmarkStart w:id="88" w:name="_Toc158376236"/>
      <w:r>
        <w:lastRenderedPageBreak/>
        <w:t xml:space="preserve">Figure </w:t>
      </w:r>
      <w:r>
        <w:fldChar w:fldCharType="begin"/>
      </w:r>
      <w:r>
        <w:instrText xml:space="preserve"> SEQ Figure \* ARABIC </w:instrText>
      </w:r>
      <w:r>
        <w:fldChar w:fldCharType="separate"/>
      </w:r>
      <w:r w:rsidR="00F37ECF">
        <w:rPr>
          <w:noProof/>
        </w:rPr>
        <w:t>5</w:t>
      </w:r>
      <w:r>
        <w:rPr>
          <w:noProof/>
        </w:rPr>
        <w:fldChar w:fldCharType="end"/>
      </w:r>
      <w:bookmarkEnd w:id="87"/>
      <w:r>
        <w:t>. 2-GW Bi-pole HVDC system.</w:t>
      </w:r>
      <w:bookmarkEnd w:id="88"/>
    </w:p>
    <w:p w14:paraId="25D92942" w14:textId="1D7C57C0" w:rsidR="00E22713" w:rsidRPr="0059178C" w:rsidRDefault="00E22713" w:rsidP="00E22713">
      <w:pPr>
        <w:pStyle w:val="BodyText"/>
        <w:spacing w:line="276" w:lineRule="auto"/>
        <w:jc w:val="center"/>
        <w:rPr>
          <w:lang w:val="fr-FR"/>
        </w:rPr>
      </w:pPr>
      <w:r w:rsidRPr="002946DE">
        <w:rPr>
          <w:rFonts w:eastAsiaTheme="majorEastAsia" w:cstheme="majorBidi"/>
          <w:bCs/>
          <w:i/>
          <w:sz w:val="16"/>
          <w:szCs w:val="28"/>
        </w:rPr>
        <w:t>Next Generation Offshore Grid Connection Systems: TenneT’s 2 GW Standard</w:t>
      </w:r>
      <w:r>
        <w:rPr>
          <w:rFonts w:eastAsiaTheme="majorEastAsia" w:cstheme="majorBidi"/>
          <w:bCs/>
          <w:i/>
          <w:sz w:val="16"/>
          <w:szCs w:val="28"/>
        </w:rPr>
        <w:t>, [Online].</w:t>
      </w:r>
      <w:r w:rsidRPr="00CB4DCC">
        <w:rPr>
          <w:rFonts w:eastAsiaTheme="majorEastAsia" w:cstheme="majorBidi"/>
          <w:bCs/>
          <w:i/>
          <w:sz w:val="16"/>
          <w:szCs w:val="28"/>
        </w:rPr>
        <w:t xml:space="preserve"> </w:t>
      </w:r>
      <w:r w:rsidRPr="0059178C">
        <w:rPr>
          <w:rFonts w:eastAsiaTheme="majorEastAsia" w:cstheme="majorBidi"/>
          <w:bCs/>
          <w:i/>
          <w:sz w:val="16"/>
          <w:szCs w:val="28"/>
          <w:lang w:val="fr-FR"/>
        </w:rPr>
        <w:t>Available: https://electra.cigre.org/321-april-2022/technology-e2e/next-generation-offshore-grid-connection-systems-tennets-2-gw-standard.html#:~:text=With%20the%202%20GW%20standard,Sea%20in%20the%20near%20future.</w:t>
      </w:r>
    </w:p>
    <w:p w14:paraId="0F6C51B7" w14:textId="38F2AF62" w:rsidR="00794C64" w:rsidRPr="00F37ECF" w:rsidRDefault="00E22713" w:rsidP="00F37ECF">
      <w:pPr>
        <w:spacing w:line="360" w:lineRule="auto"/>
        <w:jc w:val="center"/>
        <w:rPr>
          <w:rFonts w:ascii="Times New Roman" w:hAnsi="Times New Roman"/>
        </w:rPr>
      </w:pPr>
      <w:r>
        <w:rPr>
          <w:noProof/>
        </w:rPr>
        <w:drawing>
          <wp:inline distT="0" distB="0" distL="0" distR="0" wp14:anchorId="148E47F6" wp14:editId="40511462">
            <wp:extent cx="4572000" cy="3456432"/>
            <wp:effectExtent l="0" t="0" r="0" b="0"/>
            <wp:docPr id="28" name="Picture 28" descr="Diagram, schemat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Diagram, schematic&#10;&#10;Description automatically generate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572000" cy="3456432"/>
                    </a:xfrm>
                    <a:prstGeom prst="rect">
                      <a:avLst/>
                    </a:prstGeom>
                    <a:noFill/>
                    <a:ln>
                      <a:noFill/>
                    </a:ln>
                  </pic:spPr>
                </pic:pic>
              </a:graphicData>
            </a:graphic>
          </wp:inline>
        </w:drawing>
      </w:r>
    </w:p>
    <w:p w14:paraId="71F64575" w14:textId="5A116B25" w:rsidR="0022643B" w:rsidRDefault="0022643B" w:rsidP="0022643B">
      <w:pPr>
        <w:pStyle w:val="Heading3"/>
      </w:pPr>
      <w:bookmarkStart w:id="89" w:name="_Toc158376367"/>
      <w:r>
        <w:t>Large-Scale Testing Facilities</w:t>
      </w:r>
      <w:bookmarkEnd w:id="89"/>
    </w:p>
    <w:p w14:paraId="10E15697" w14:textId="056BA824" w:rsidR="001957C6" w:rsidRPr="00D42386" w:rsidRDefault="001957C6" w:rsidP="001957C6">
      <w:pPr>
        <w:pStyle w:val="BodyText"/>
        <w:spacing w:after="0"/>
      </w:pPr>
      <w:r w:rsidRPr="00D42386">
        <w:t xml:space="preserve">To realize the offshore HVDC infrastructure in the U.S., several technical barriers need to be addressed including HVDC equipment upgrades, lowering </w:t>
      </w:r>
      <w:r>
        <w:t xml:space="preserve">the </w:t>
      </w:r>
      <w:r w:rsidRPr="00D42386">
        <w:t>cost and size of HVDC converter stations, and protection and control of MTDC networks</w:t>
      </w:r>
      <w:r w:rsidR="00D016E1">
        <w:t xml:space="preserve"> (see Deliverable D4.3)</w:t>
      </w:r>
      <w:r w:rsidRPr="00D42386">
        <w:t>. One of the HVDC high voltage testing, research, and demonstration model facilities that Clemson University intends to realize in the near future is discussed in more detail in this section to provide an initial set of guidelines for the development of similar centers across the U.S.</w:t>
      </w:r>
    </w:p>
    <w:p w14:paraId="2FC391A9" w14:textId="77777777" w:rsidR="001957C6" w:rsidRDefault="001957C6" w:rsidP="001957C6">
      <w:pPr>
        <w:pStyle w:val="BodyText"/>
        <w:spacing w:after="0"/>
        <w:ind w:firstLine="360"/>
      </w:pPr>
    </w:p>
    <w:p w14:paraId="7CB7C536" w14:textId="769BDBB9" w:rsidR="001957C6" w:rsidRDefault="001957C6" w:rsidP="001957C6">
      <w:pPr>
        <w:pStyle w:val="BodyText"/>
        <w:spacing w:after="0"/>
      </w:pPr>
      <w:r>
        <w:t xml:space="preserve">The Clemson University in North Charleston intends to upgrade its existing energy innovation facility for wind turbine drivetrain research, demonstration, and testing from 15MW/24kV to 30MW/66kV to satiate growing demands from wind, PV inverter manufacturers and customers. The </w:t>
      </w:r>
      <w:r>
        <w:rPr>
          <w:rFonts w:cs="Times New Roman"/>
          <w:szCs w:val="32"/>
        </w:rPr>
        <w:t>existing research and testing facility is shown in</w:t>
      </w:r>
      <w:r w:rsidR="00C2176A">
        <w:rPr>
          <w:rFonts w:cs="Times New Roman"/>
          <w:szCs w:val="32"/>
        </w:rPr>
        <w:t xml:space="preserve"> </w:t>
      </w:r>
      <w:r w:rsidR="00C2176A">
        <w:rPr>
          <w:rFonts w:cs="Times New Roman"/>
          <w:szCs w:val="32"/>
        </w:rPr>
        <w:fldChar w:fldCharType="begin"/>
      </w:r>
      <w:r w:rsidR="00C2176A">
        <w:rPr>
          <w:rFonts w:cs="Times New Roman"/>
          <w:szCs w:val="32"/>
        </w:rPr>
        <w:instrText xml:space="preserve"> REF _Ref157247707 \h </w:instrText>
      </w:r>
      <w:r w:rsidR="00C2176A">
        <w:rPr>
          <w:rFonts w:cs="Times New Roman"/>
          <w:szCs w:val="32"/>
        </w:rPr>
      </w:r>
      <w:r w:rsidR="00C2176A">
        <w:rPr>
          <w:rFonts w:cs="Times New Roman"/>
          <w:szCs w:val="32"/>
        </w:rPr>
        <w:fldChar w:fldCharType="separate"/>
      </w:r>
      <w:r w:rsidR="00F37ECF">
        <w:t xml:space="preserve">Figure </w:t>
      </w:r>
      <w:r w:rsidR="00F37ECF">
        <w:rPr>
          <w:noProof/>
        </w:rPr>
        <w:t>6</w:t>
      </w:r>
      <w:r w:rsidR="00C2176A">
        <w:rPr>
          <w:rFonts w:cs="Times New Roman"/>
          <w:szCs w:val="32"/>
        </w:rPr>
        <w:fldChar w:fldCharType="end"/>
      </w:r>
      <w:r>
        <w:rPr>
          <w:rFonts w:cs="Times New Roman"/>
          <w:szCs w:val="32"/>
        </w:rPr>
        <w:t>.</w:t>
      </w:r>
    </w:p>
    <w:p w14:paraId="3115B5BF" w14:textId="77777777" w:rsidR="001957C6" w:rsidRDefault="001957C6" w:rsidP="001957C6">
      <w:pPr>
        <w:pStyle w:val="BodyText"/>
        <w:spacing w:after="0"/>
        <w:ind w:firstLine="360"/>
      </w:pPr>
    </w:p>
    <w:p w14:paraId="4AF492C1" w14:textId="50260688" w:rsidR="00C2176A" w:rsidRDefault="00C2176A" w:rsidP="00C2176A">
      <w:pPr>
        <w:pStyle w:val="Caption"/>
        <w:jc w:val="center"/>
      </w:pPr>
      <w:bookmarkStart w:id="90" w:name="_Ref157247707"/>
      <w:bookmarkStart w:id="91" w:name="_Toc158376237"/>
      <w:r>
        <w:lastRenderedPageBreak/>
        <w:t xml:space="preserve">Figure </w:t>
      </w:r>
      <w:r>
        <w:fldChar w:fldCharType="begin"/>
      </w:r>
      <w:r>
        <w:instrText xml:space="preserve"> SEQ Figure \* ARABIC </w:instrText>
      </w:r>
      <w:r>
        <w:fldChar w:fldCharType="separate"/>
      </w:r>
      <w:r w:rsidR="00F37ECF">
        <w:rPr>
          <w:noProof/>
        </w:rPr>
        <w:t>6</w:t>
      </w:r>
      <w:r>
        <w:rPr>
          <w:noProof/>
        </w:rPr>
        <w:fldChar w:fldCharType="end"/>
      </w:r>
      <w:bookmarkEnd w:id="90"/>
      <w:r>
        <w:t>. Existing research and testing facility at Clemson University in North Charleston, SC [14].</w:t>
      </w:r>
      <w:bookmarkEnd w:id="91"/>
    </w:p>
    <w:p w14:paraId="3A9AEDD5" w14:textId="77777777" w:rsidR="001957C6" w:rsidRDefault="001957C6" w:rsidP="001957C6">
      <w:pPr>
        <w:pStyle w:val="BodyText"/>
        <w:spacing w:after="0"/>
        <w:jc w:val="center"/>
      </w:pPr>
      <w:r>
        <w:rPr>
          <w:noProof/>
        </w:rPr>
        <w:drawing>
          <wp:inline distT="0" distB="0" distL="0" distR="0" wp14:anchorId="40427A1E" wp14:editId="51539C0D">
            <wp:extent cx="4976307" cy="3276600"/>
            <wp:effectExtent l="0" t="0" r="0" b="0"/>
            <wp:docPr id="674567761" name="Picture 674567761" descr="A diagram of a power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567761" name="Picture 4" descr="A diagram of a power plant&#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985630" cy="3282739"/>
                    </a:xfrm>
                    <a:prstGeom prst="rect">
                      <a:avLst/>
                    </a:prstGeom>
                    <a:noFill/>
                    <a:ln>
                      <a:noFill/>
                    </a:ln>
                  </pic:spPr>
                </pic:pic>
              </a:graphicData>
            </a:graphic>
          </wp:inline>
        </w:drawing>
      </w:r>
    </w:p>
    <w:p w14:paraId="64A2D79F" w14:textId="77777777" w:rsidR="001957C6" w:rsidRDefault="001957C6" w:rsidP="001957C6">
      <w:pPr>
        <w:pStyle w:val="BodyText"/>
        <w:spacing w:after="0"/>
        <w:ind w:firstLine="360"/>
      </w:pPr>
    </w:p>
    <w:p w14:paraId="5636E765" w14:textId="77777777" w:rsidR="001957C6" w:rsidRDefault="001957C6" w:rsidP="001957C6">
      <w:pPr>
        <w:pStyle w:val="BodyText"/>
        <w:spacing w:after="0"/>
      </w:pPr>
      <w:r>
        <w:t>This center will be carrying out research, development, demonstration and certification in the areas of grid forming (GFM) and grid following (GFL) inverter-based resources (IBRs) that are essential to realizing the offshore MTDC grid in the U.S. In addition, the center is committed to continuing research in the following related fields: Hydrogen (H</w:t>
      </w:r>
      <w:r w:rsidRPr="00D300A0">
        <w:rPr>
          <w:vertAlign w:val="subscript"/>
        </w:rPr>
        <w:t>2</w:t>
      </w:r>
      <w:r>
        <w:t>), PV, wind turbines, combined heat, and power (CHP), storage, and charging infrastructure development, smart transformer and substation technology research and development, compacting HVDC converter and DC protection technology, and standards development for offshore HVDC technology. Similar hybrid testing and research centers need to be developed across the U.S. to satiate the requirement of a trained workforce and advanced equipment, topologies, and strategies essential to realize the offshore HVDC backbone in the U.S.</w:t>
      </w:r>
    </w:p>
    <w:p w14:paraId="1357F878" w14:textId="77777777" w:rsidR="001957C6" w:rsidRDefault="001957C6" w:rsidP="001957C6">
      <w:pPr>
        <w:pStyle w:val="BodyText"/>
        <w:spacing w:after="0"/>
        <w:ind w:firstLine="360"/>
      </w:pPr>
    </w:p>
    <w:p w14:paraId="2C6A39F2" w14:textId="2F8F42EA" w:rsidR="001957C6" w:rsidRPr="0022643B" w:rsidRDefault="001957C6" w:rsidP="001957C6">
      <w:pPr>
        <w:pStyle w:val="BodyText"/>
        <w:spacing w:after="0"/>
      </w:pPr>
      <w:r>
        <w:t>The capabilities of the HIL Grid Simulator and its significance for OSW grid development in the U.S. are presented below.</w:t>
      </w:r>
    </w:p>
    <w:p w14:paraId="183E2E20" w14:textId="7536388A" w:rsidR="001957C6" w:rsidRDefault="001957C6" w:rsidP="0022643B">
      <w:pPr>
        <w:pStyle w:val="Heading4"/>
      </w:pPr>
      <w:bookmarkStart w:id="92" w:name="_Toc158376368"/>
      <w:r w:rsidRPr="00AF21F4">
        <w:t>3</w:t>
      </w:r>
      <w:r>
        <w:t>5</w:t>
      </w:r>
      <w:r w:rsidRPr="00AF21F4">
        <w:t>MW Hybrid Grid Simulator at 66kV</w:t>
      </w:r>
      <w:bookmarkEnd w:id="92"/>
      <w:r w:rsidRPr="00AF21F4">
        <w:t xml:space="preserve"> </w:t>
      </w:r>
    </w:p>
    <w:p w14:paraId="247C3EC5" w14:textId="77777777" w:rsidR="001957C6" w:rsidRDefault="001957C6" w:rsidP="001957C6">
      <w:pPr>
        <w:pStyle w:val="NoSpacing"/>
        <w:spacing w:line="360" w:lineRule="auto"/>
        <w:jc w:val="both"/>
        <w:rPr>
          <w:rFonts w:eastAsiaTheme="minorHAnsi" w:cstheme="minorBidi"/>
          <w:color w:val="000000" w:themeColor="text1"/>
          <w:sz w:val="22"/>
          <w:szCs w:val="22"/>
          <w:lang w:bidi="ar-SA"/>
        </w:rPr>
      </w:pPr>
      <w:r>
        <w:rPr>
          <w:rFonts w:eastAsiaTheme="minorHAnsi" w:cstheme="minorBidi"/>
          <w:color w:val="000000" w:themeColor="text1"/>
          <w:sz w:val="22"/>
          <w:szCs w:val="22"/>
          <w:lang w:bidi="ar-SA"/>
        </w:rPr>
        <w:t>The</w:t>
      </w:r>
      <w:r w:rsidRPr="00D14283">
        <w:rPr>
          <w:rFonts w:eastAsiaTheme="minorHAnsi" w:cstheme="minorBidi"/>
          <w:color w:val="000000" w:themeColor="text1"/>
          <w:sz w:val="22"/>
          <w:szCs w:val="22"/>
          <w:lang w:bidi="ar-SA"/>
        </w:rPr>
        <w:t xml:space="preserve"> 35MW HIL Grid Simulator will have powerful grid simulation capability that mimics real‐world transients such as wide‐area power disruptions, frequency fluctuations, voltage drops, cascading accidents, and cyber or physical attacks without ‘real‐world’ risk. This simulator is needed to test and validate new renewable energy technologies to reduce the risk of new market introduction and to integrate into the transmission and distribution infrastructure. The state‐of‐the‐art 35MW HIL Grid Simulator</w:t>
      </w:r>
      <w:r>
        <w:rPr>
          <w:rFonts w:eastAsiaTheme="minorHAnsi" w:cstheme="minorBidi"/>
          <w:color w:val="000000" w:themeColor="text1"/>
          <w:sz w:val="22"/>
          <w:szCs w:val="22"/>
          <w:lang w:bidi="ar-SA"/>
        </w:rPr>
        <w:t xml:space="preserve"> will be utilized</w:t>
      </w:r>
      <w:r w:rsidRPr="00D14283">
        <w:rPr>
          <w:rFonts w:eastAsiaTheme="minorHAnsi" w:cstheme="minorBidi"/>
          <w:color w:val="000000" w:themeColor="text1"/>
          <w:sz w:val="22"/>
          <w:szCs w:val="22"/>
          <w:lang w:bidi="ar-SA"/>
        </w:rPr>
        <w:t xml:space="preserve"> </w:t>
      </w:r>
      <w:r w:rsidRPr="00D14283">
        <w:rPr>
          <w:rFonts w:eastAsiaTheme="minorHAnsi" w:cstheme="minorBidi"/>
          <w:color w:val="000000" w:themeColor="text1"/>
          <w:sz w:val="22"/>
          <w:szCs w:val="22"/>
          <w:lang w:bidi="ar-SA"/>
        </w:rPr>
        <w:lastRenderedPageBreak/>
        <w:t>for grid compatibility testing of multimegawatt devices through a ‘shared facility’ model open to all innovators to promote the rapid introduction of new technology in the energy market to lower the cost of energy delivered. The mission of this facility is to (1) accelerate the introduction of new renewable energy products into the market, (2) reduce the risk of new product integration, (3) allow collaboration between academic and industrial partners for new technology development and market needs, and (4) lower the cost of energy delivered.</w:t>
      </w:r>
    </w:p>
    <w:p w14:paraId="4D80DE70" w14:textId="77777777" w:rsidR="001957C6" w:rsidRDefault="001957C6" w:rsidP="001957C6">
      <w:pPr>
        <w:pStyle w:val="NoSpacing"/>
        <w:spacing w:line="360" w:lineRule="auto"/>
        <w:ind w:firstLine="360"/>
        <w:jc w:val="both"/>
        <w:rPr>
          <w:rFonts w:eastAsiaTheme="minorHAnsi" w:cstheme="minorBidi"/>
          <w:color w:val="000000" w:themeColor="text1"/>
          <w:sz w:val="22"/>
          <w:szCs w:val="22"/>
          <w:lang w:bidi="ar-SA"/>
        </w:rPr>
      </w:pPr>
    </w:p>
    <w:p w14:paraId="7B6E335C" w14:textId="5CBA3DF7" w:rsidR="001957C6" w:rsidRPr="00C2176A" w:rsidRDefault="001957C6" w:rsidP="00C2176A">
      <w:pPr>
        <w:pStyle w:val="NoSpacing"/>
        <w:spacing w:line="360" w:lineRule="auto"/>
        <w:jc w:val="both"/>
        <w:rPr>
          <w:rFonts w:eastAsiaTheme="minorHAnsi" w:cstheme="minorBidi"/>
          <w:color w:val="000000" w:themeColor="text1"/>
          <w:sz w:val="22"/>
          <w:szCs w:val="22"/>
          <w:lang w:bidi="ar-SA"/>
        </w:rPr>
      </w:pPr>
      <w:r>
        <w:rPr>
          <w:rFonts w:eastAsiaTheme="minorHAnsi" w:cstheme="minorBidi"/>
          <w:color w:val="000000" w:themeColor="text1"/>
          <w:sz w:val="22"/>
          <w:szCs w:val="22"/>
          <w:lang w:bidi="ar-SA"/>
        </w:rPr>
        <w:t>T</w:t>
      </w:r>
      <w:r w:rsidRPr="00CD6389">
        <w:rPr>
          <w:rFonts w:eastAsiaTheme="minorHAnsi" w:cstheme="minorBidi"/>
          <w:color w:val="000000" w:themeColor="text1"/>
          <w:sz w:val="22"/>
          <w:szCs w:val="22"/>
          <w:lang w:bidi="ar-SA"/>
        </w:rPr>
        <w:t>h</w:t>
      </w:r>
      <w:r>
        <w:rPr>
          <w:rFonts w:eastAsiaTheme="minorHAnsi" w:cstheme="minorBidi"/>
          <w:color w:val="000000" w:themeColor="text1"/>
          <w:sz w:val="22"/>
          <w:szCs w:val="22"/>
          <w:lang w:bidi="ar-SA"/>
        </w:rPr>
        <w:t>is center needs to conduct research and test</w:t>
      </w:r>
      <w:r w:rsidRPr="00CD6389">
        <w:rPr>
          <w:rFonts w:eastAsiaTheme="minorHAnsi" w:cstheme="minorBidi"/>
          <w:color w:val="000000" w:themeColor="text1"/>
          <w:sz w:val="22"/>
          <w:szCs w:val="22"/>
          <w:lang w:bidi="ar-SA"/>
        </w:rPr>
        <w:t xml:space="preserve"> </w:t>
      </w:r>
      <w:r>
        <w:rPr>
          <w:rFonts w:eastAsiaTheme="minorHAnsi" w:cstheme="minorBidi"/>
          <w:color w:val="000000" w:themeColor="text1"/>
          <w:sz w:val="22"/>
          <w:szCs w:val="22"/>
          <w:lang w:bidi="ar-SA"/>
        </w:rPr>
        <w:t xml:space="preserve">offshore and onshore </w:t>
      </w:r>
      <w:r w:rsidRPr="00CD6389">
        <w:rPr>
          <w:rFonts w:eastAsiaTheme="minorHAnsi" w:cstheme="minorBidi"/>
          <w:color w:val="000000" w:themeColor="text1"/>
          <w:sz w:val="22"/>
          <w:szCs w:val="22"/>
          <w:lang w:bidi="ar-SA"/>
        </w:rPr>
        <w:t>grid events</w:t>
      </w:r>
      <w:r w:rsidRPr="00CD6389" w:rsidDel="0089263B">
        <w:rPr>
          <w:rFonts w:eastAsiaTheme="minorHAnsi" w:cstheme="minorBidi"/>
          <w:color w:val="000000" w:themeColor="text1"/>
          <w:sz w:val="22"/>
          <w:szCs w:val="22"/>
          <w:lang w:bidi="ar-SA"/>
        </w:rPr>
        <w:t xml:space="preserve"> </w:t>
      </w:r>
      <w:r w:rsidRPr="00CD6389">
        <w:rPr>
          <w:rFonts w:eastAsiaTheme="minorHAnsi" w:cstheme="minorBidi"/>
          <w:color w:val="000000" w:themeColor="text1"/>
          <w:sz w:val="22"/>
          <w:szCs w:val="22"/>
          <w:lang w:bidi="ar-SA"/>
        </w:rPr>
        <w:t xml:space="preserve">such as wide-area power disruptions, power quality issues, frequency fluctuations, voltage drops, cascading accidents, and cyber or physical attacks </w:t>
      </w:r>
      <w:r>
        <w:rPr>
          <w:rFonts w:eastAsiaTheme="minorHAnsi" w:cstheme="minorBidi"/>
          <w:color w:val="000000" w:themeColor="text1"/>
          <w:sz w:val="22"/>
          <w:szCs w:val="22"/>
          <w:lang w:bidi="ar-SA"/>
        </w:rPr>
        <w:t xml:space="preserve">that may impact </w:t>
      </w:r>
      <w:r w:rsidRPr="00CD6389">
        <w:rPr>
          <w:rFonts w:eastAsiaTheme="minorHAnsi" w:cstheme="minorBidi"/>
          <w:color w:val="000000" w:themeColor="text1"/>
          <w:sz w:val="22"/>
          <w:szCs w:val="22"/>
          <w:lang w:bidi="ar-SA"/>
        </w:rPr>
        <w:t>utility</w:t>
      </w:r>
      <w:r>
        <w:rPr>
          <w:rFonts w:eastAsiaTheme="minorHAnsi" w:cstheme="minorBidi"/>
          <w:color w:val="000000" w:themeColor="text1"/>
          <w:sz w:val="22"/>
          <w:szCs w:val="22"/>
          <w:lang w:bidi="ar-SA"/>
        </w:rPr>
        <w:t>, system operators, developers</w:t>
      </w:r>
      <w:r w:rsidRPr="00CD6389">
        <w:rPr>
          <w:rFonts w:eastAsiaTheme="minorHAnsi" w:cstheme="minorBidi"/>
          <w:color w:val="000000" w:themeColor="text1"/>
          <w:sz w:val="22"/>
          <w:szCs w:val="22"/>
          <w:lang w:bidi="ar-SA"/>
        </w:rPr>
        <w:t xml:space="preserve"> </w:t>
      </w:r>
      <w:r>
        <w:rPr>
          <w:rFonts w:eastAsiaTheme="minorHAnsi" w:cstheme="minorBidi"/>
          <w:color w:val="000000" w:themeColor="text1"/>
          <w:sz w:val="22"/>
          <w:szCs w:val="22"/>
          <w:lang w:bidi="ar-SA"/>
        </w:rPr>
        <w:t xml:space="preserve">and </w:t>
      </w:r>
      <w:r w:rsidRPr="00CD6389">
        <w:rPr>
          <w:rFonts w:eastAsiaTheme="minorHAnsi" w:cstheme="minorBidi"/>
          <w:color w:val="000000" w:themeColor="text1"/>
          <w:sz w:val="22"/>
          <w:szCs w:val="22"/>
          <w:lang w:bidi="ar-SA"/>
        </w:rPr>
        <w:t xml:space="preserve">companies. These dynamic events </w:t>
      </w:r>
      <w:r>
        <w:rPr>
          <w:rFonts w:eastAsiaTheme="minorHAnsi" w:cstheme="minorBidi"/>
          <w:color w:val="000000" w:themeColor="text1"/>
          <w:sz w:val="22"/>
          <w:szCs w:val="22"/>
          <w:lang w:bidi="ar-SA"/>
        </w:rPr>
        <w:t>can be</w:t>
      </w:r>
      <w:r w:rsidRPr="00CD6389">
        <w:rPr>
          <w:rFonts w:eastAsiaTheme="minorHAnsi" w:cstheme="minorBidi"/>
          <w:color w:val="000000" w:themeColor="text1"/>
          <w:sz w:val="22"/>
          <w:szCs w:val="22"/>
          <w:lang w:bidi="ar-SA"/>
        </w:rPr>
        <w:t xml:space="preserve"> emulated in a safe environment</w:t>
      </w:r>
      <w:r>
        <w:rPr>
          <w:rFonts w:eastAsiaTheme="minorHAnsi" w:cstheme="minorBidi"/>
          <w:color w:val="000000" w:themeColor="text1"/>
          <w:sz w:val="22"/>
          <w:szCs w:val="22"/>
          <w:lang w:bidi="ar-SA"/>
        </w:rPr>
        <w:t xml:space="preserve"> in such facilities</w:t>
      </w:r>
      <w:r w:rsidRPr="00CD6389">
        <w:rPr>
          <w:rFonts w:eastAsiaTheme="minorHAnsi" w:cstheme="minorBidi"/>
          <w:color w:val="000000" w:themeColor="text1"/>
          <w:sz w:val="22"/>
          <w:szCs w:val="22"/>
          <w:lang w:bidi="ar-SA"/>
        </w:rPr>
        <w:t>, that could be used to</w:t>
      </w:r>
      <w:r w:rsidRPr="00CD6389" w:rsidDel="009E3F55">
        <w:rPr>
          <w:rFonts w:eastAsiaTheme="minorHAnsi" w:cstheme="minorBidi"/>
          <w:color w:val="000000" w:themeColor="text1"/>
          <w:sz w:val="22"/>
          <w:szCs w:val="22"/>
          <w:lang w:bidi="ar-SA"/>
        </w:rPr>
        <w:t xml:space="preserve"> </w:t>
      </w:r>
      <w:r w:rsidRPr="00CD6389">
        <w:rPr>
          <w:rFonts w:eastAsiaTheme="minorHAnsi" w:cstheme="minorBidi"/>
          <w:color w:val="000000" w:themeColor="text1"/>
          <w:sz w:val="22"/>
          <w:szCs w:val="22"/>
          <w:lang w:bidi="ar-SA"/>
        </w:rPr>
        <w:t xml:space="preserve">validate dynamic contingency models, smart-grid technology, energy storage, and converters, to integrate distributed clean energy resources more efficiently into the transmission and distribution infrastructure. Having HIL capability will allow testing of current and new technologies to generate models to duplicate actual performance and certification of technology. </w:t>
      </w:r>
      <w:r>
        <w:rPr>
          <w:rFonts w:eastAsiaTheme="minorHAnsi" w:cstheme="minorBidi"/>
          <w:color w:val="000000" w:themeColor="text1"/>
          <w:sz w:val="22"/>
          <w:szCs w:val="22"/>
          <w:lang w:bidi="ar-SA"/>
        </w:rPr>
        <w:t>P</w:t>
      </w:r>
      <w:r w:rsidRPr="00CD6389">
        <w:rPr>
          <w:rFonts w:eastAsiaTheme="minorHAnsi" w:cstheme="minorBidi"/>
          <w:color w:val="000000" w:themeColor="text1"/>
          <w:sz w:val="22"/>
          <w:szCs w:val="22"/>
          <w:lang w:bidi="ar-SA"/>
        </w:rPr>
        <w:t xml:space="preserve">revious experience </w:t>
      </w:r>
      <w:r>
        <w:rPr>
          <w:rFonts w:eastAsiaTheme="minorHAnsi" w:cstheme="minorBidi"/>
          <w:color w:val="000000" w:themeColor="text1"/>
          <w:sz w:val="22"/>
          <w:szCs w:val="22"/>
          <w:lang w:bidi="ar-SA"/>
        </w:rPr>
        <w:t xml:space="preserve">at Clemson University Energy Innovation Center </w:t>
      </w:r>
      <w:r w:rsidRPr="00CD6389">
        <w:rPr>
          <w:rFonts w:eastAsiaTheme="minorHAnsi" w:cstheme="minorBidi"/>
          <w:color w:val="000000" w:themeColor="text1"/>
          <w:sz w:val="22"/>
          <w:szCs w:val="22"/>
          <w:lang w:bidi="ar-SA"/>
        </w:rPr>
        <w:t>shows that an individual equipment testing result might be different from the on-field results. The reason behind that is mainly the equipment interaction with the power grid and other equipment connected to the grid. In the HIL environment, the grid can be virtually modeled, and grid integration can be achieved by combining hardware with the virtual environment. An example application of the HIL system is shown in</w:t>
      </w:r>
      <w:r w:rsidR="00C2176A">
        <w:rPr>
          <w:rFonts w:eastAsiaTheme="minorHAnsi" w:cstheme="minorBidi"/>
          <w:color w:val="000000" w:themeColor="text1"/>
          <w:sz w:val="22"/>
          <w:szCs w:val="22"/>
          <w:lang w:bidi="ar-SA"/>
        </w:rPr>
        <w:t xml:space="preserve"> </w:t>
      </w:r>
      <w:r w:rsidR="00C2176A">
        <w:rPr>
          <w:rFonts w:eastAsiaTheme="minorHAnsi" w:cstheme="minorBidi"/>
          <w:color w:val="000000" w:themeColor="text1"/>
          <w:sz w:val="22"/>
          <w:szCs w:val="22"/>
          <w:lang w:bidi="ar-SA"/>
        </w:rPr>
        <w:fldChar w:fldCharType="begin"/>
      </w:r>
      <w:r w:rsidR="00C2176A">
        <w:rPr>
          <w:rFonts w:eastAsiaTheme="minorHAnsi" w:cstheme="minorBidi"/>
          <w:color w:val="000000" w:themeColor="text1"/>
          <w:sz w:val="22"/>
          <w:szCs w:val="22"/>
          <w:lang w:bidi="ar-SA"/>
        </w:rPr>
        <w:instrText xml:space="preserve"> REF _Ref157247760 \h </w:instrText>
      </w:r>
      <w:r w:rsidR="00C2176A">
        <w:rPr>
          <w:rFonts w:eastAsiaTheme="minorHAnsi" w:cstheme="minorBidi"/>
          <w:color w:val="000000" w:themeColor="text1"/>
          <w:sz w:val="22"/>
          <w:szCs w:val="22"/>
          <w:lang w:bidi="ar-SA"/>
        </w:rPr>
      </w:r>
      <w:r w:rsidR="00C2176A">
        <w:rPr>
          <w:rFonts w:eastAsiaTheme="minorHAnsi" w:cstheme="minorBidi"/>
          <w:color w:val="000000" w:themeColor="text1"/>
          <w:sz w:val="22"/>
          <w:szCs w:val="22"/>
          <w:lang w:bidi="ar-SA"/>
        </w:rPr>
        <w:fldChar w:fldCharType="separate"/>
      </w:r>
      <w:r w:rsidR="00F37ECF">
        <w:t xml:space="preserve">Figure </w:t>
      </w:r>
      <w:r w:rsidR="00F37ECF">
        <w:rPr>
          <w:noProof/>
        </w:rPr>
        <w:t>7</w:t>
      </w:r>
      <w:r w:rsidR="00C2176A">
        <w:rPr>
          <w:rFonts w:eastAsiaTheme="minorHAnsi" w:cstheme="minorBidi"/>
          <w:color w:val="000000" w:themeColor="text1"/>
          <w:sz w:val="22"/>
          <w:szCs w:val="22"/>
          <w:lang w:bidi="ar-SA"/>
        </w:rPr>
        <w:fldChar w:fldCharType="end"/>
      </w:r>
      <w:r w:rsidRPr="00CD6389">
        <w:rPr>
          <w:rFonts w:eastAsiaTheme="minorHAnsi" w:cstheme="minorBidi"/>
          <w:color w:val="000000" w:themeColor="text1"/>
          <w:sz w:val="22"/>
          <w:szCs w:val="22"/>
          <w:lang w:bidi="ar-SA"/>
        </w:rPr>
        <w:t xml:space="preserve">, where the physical power system is simulated in a simulator that interacts in </w:t>
      </w:r>
      <w:r>
        <w:rPr>
          <w:rFonts w:eastAsiaTheme="minorHAnsi" w:cstheme="minorBidi"/>
          <w:color w:val="000000" w:themeColor="text1"/>
          <w:sz w:val="22"/>
          <w:szCs w:val="22"/>
          <w:lang w:bidi="ar-SA"/>
        </w:rPr>
        <w:t>real-time</w:t>
      </w:r>
      <w:r w:rsidRPr="00CD6389">
        <w:rPr>
          <w:rFonts w:eastAsiaTheme="minorHAnsi" w:cstheme="minorBidi"/>
          <w:color w:val="000000" w:themeColor="text1"/>
          <w:sz w:val="22"/>
          <w:szCs w:val="22"/>
          <w:lang w:bidi="ar-SA"/>
        </w:rPr>
        <w:t xml:space="preserve"> with a Photovoltaic (PV) inverter.</w:t>
      </w:r>
    </w:p>
    <w:p w14:paraId="0FF2AAD7" w14:textId="7E1C0034" w:rsidR="00C2176A" w:rsidRDefault="00C2176A" w:rsidP="00C2176A">
      <w:pPr>
        <w:pStyle w:val="Caption"/>
        <w:jc w:val="center"/>
      </w:pPr>
      <w:bookmarkStart w:id="93" w:name="_Ref157247760"/>
      <w:bookmarkStart w:id="94" w:name="_Toc158376238"/>
      <w:r>
        <w:lastRenderedPageBreak/>
        <w:t xml:space="preserve">Figure </w:t>
      </w:r>
      <w:r>
        <w:fldChar w:fldCharType="begin"/>
      </w:r>
      <w:r>
        <w:instrText xml:space="preserve"> SEQ Figure \* ARABIC </w:instrText>
      </w:r>
      <w:r>
        <w:fldChar w:fldCharType="separate"/>
      </w:r>
      <w:r w:rsidR="00F37ECF">
        <w:rPr>
          <w:noProof/>
        </w:rPr>
        <w:t>7</w:t>
      </w:r>
      <w:r>
        <w:rPr>
          <w:noProof/>
        </w:rPr>
        <w:fldChar w:fldCharType="end"/>
      </w:r>
      <w:bookmarkEnd w:id="93"/>
      <w:r>
        <w:t>. P-HIL System Application.</w:t>
      </w:r>
      <w:bookmarkEnd w:id="94"/>
    </w:p>
    <w:p w14:paraId="4DB547DB" w14:textId="77777777" w:rsidR="001957C6" w:rsidRDefault="001957C6" w:rsidP="001957C6">
      <w:pPr>
        <w:pStyle w:val="NoSpacing"/>
        <w:jc w:val="center"/>
        <w:rPr>
          <w:rFonts w:asciiTheme="minorHAnsi" w:hAnsiTheme="minorHAnsi" w:cstheme="minorHAnsi"/>
          <w:szCs w:val="24"/>
        </w:rPr>
      </w:pPr>
      <w:r>
        <w:rPr>
          <w:noProof/>
        </w:rPr>
        <w:drawing>
          <wp:inline distT="0" distB="0" distL="0" distR="0" wp14:anchorId="0F967FAF" wp14:editId="1BAD11B3">
            <wp:extent cx="5148585" cy="3472543"/>
            <wp:effectExtent l="0" t="0" r="0" b="0"/>
            <wp:docPr id="10" name="Picture 10"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Diagram&#10;&#10;Description automatically generate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162839" cy="3482157"/>
                    </a:xfrm>
                    <a:prstGeom prst="rect">
                      <a:avLst/>
                    </a:prstGeom>
                    <a:noFill/>
                    <a:ln>
                      <a:noFill/>
                    </a:ln>
                  </pic:spPr>
                </pic:pic>
              </a:graphicData>
            </a:graphic>
          </wp:inline>
        </w:drawing>
      </w:r>
    </w:p>
    <w:p w14:paraId="3E928B14" w14:textId="77777777" w:rsidR="001957C6" w:rsidRDefault="001957C6" w:rsidP="001957C6">
      <w:pPr>
        <w:pStyle w:val="NoSpacing"/>
        <w:ind w:firstLine="360"/>
        <w:rPr>
          <w:rFonts w:asciiTheme="minorHAnsi" w:hAnsiTheme="minorHAnsi" w:cstheme="minorHAnsi"/>
          <w:szCs w:val="24"/>
        </w:rPr>
      </w:pPr>
    </w:p>
    <w:p w14:paraId="16EE5509" w14:textId="77777777" w:rsidR="001957C6" w:rsidRDefault="001957C6" w:rsidP="001957C6">
      <w:pPr>
        <w:pStyle w:val="NoSpacing"/>
        <w:spacing w:line="360" w:lineRule="auto"/>
        <w:ind w:firstLine="360"/>
        <w:jc w:val="both"/>
        <w:rPr>
          <w:rFonts w:eastAsiaTheme="minorHAnsi" w:cstheme="minorBidi"/>
          <w:color w:val="000000" w:themeColor="text1"/>
          <w:sz w:val="22"/>
          <w:szCs w:val="22"/>
          <w:lang w:bidi="ar-SA"/>
        </w:rPr>
      </w:pPr>
    </w:p>
    <w:p w14:paraId="67E1B38E" w14:textId="5E5DC64B" w:rsidR="001957C6" w:rsidRPr="001957C6" w:rsidRDefault="001957C6" w:rsidP="001957C6">
      <w:pPr>
        <w:pStyle w:val="NoSpacing"/>
        <w:spacing w:line="360" w:lineRule="auto"/>
        <w:jc w:val="both"/>
        <w:rPr>
          <w:rFonts w:eastAsiaTheme="minorHAnsi" w:cstheme="minorBidi"/>
          <w:color w:val="000000" w:themeColor="text1"/>
          <w:sz w:val="22"/>
          <w:szCs w:val="22"/>
          <w:lang w:bidi="ar-SA"/>
        </w:rPr>
      </w:pPr>
      <w:r w:rsidRPr="00007BD0">
        <w:rPr>
          <w:rFonts w:eastAsiaTheme="minorHAnsi" w:cstheme="minorBidi"/>
          <w:color w:val="000000" w:themeColor="text1"/>
          <w:sz w:val="22"/>
          <w:szCs w:val="22"/>
          <w:lang w:bidi="ar-SA"/>
        </w:rPr>
        <w:t xml:space="preserve">Another significant application of the proposed grid simulator is </w:t>
      </w:r>
      <w:r>
        <w:rPr>
          <w:rFonts w:eastAsiaTheme="minorHAnsi" w:cstheme="minorBidi"/>
          <w:color w:val="000000" w:themeColor="text1"/>
          <w:sz w:val="22"/>
          <w:szCs w:val="22"/>
          <w:lang w:bidi="ar-SA"/>
        </w:rPr>
        <w:t xml:space="preserve">offshore/onshore </w:t>
      </w:r>
      <w:r w:rsidRPr="00007BD0">
        <w:rPr>
          <w:rFonts w:eastAsiaTheme="minorHAnsi" w:cstheme="minorBidi"/>
          <w:color w:val="000000" w:themeColor="text1"/>
          <w:sz w:val="22"/>
          <w:szCs w:val="22"/>
          <w:lang w:bidi="ar-SA"/>
        </w:rPr>
        <w:t>wind turbine testing.  Coupling mechanical and full electrical testing for the next generation of wind turbines is important to the wind industry to reduce the risk of new product introduction, accelerate the introduction of new technologies to the market, and lower the cost of energy delivered. The grid simulator test bed</w:t>
      </w:r>
      <w:r>
        <w:rPr>
          <w:rFonts w:eastAsiaTheme="minorHAnsi" w:cstheme="minorBidi"/>
          <w:color w:val="000000" w:themeColor="text1"/>
          <w:sz w:val="22"/>
          <w:szCs w:val="22"/>
          <w:lang w:bidi="ar-SA"/>
        </w:rPr>
        <w:t xml:space="preserve"> can</w:t>
      </w:r>
      <w:r w:rsidRPr="00007BD0">
        <w:rPr>
          <w:rFonts w:eastAsiaTheme="minorHAnsi" w:cstheme="minorBidi"/>
          <w:color w:val="000000" w:themeColor="text1"/>
          <w:sz w:val="22"/>
          <w:szCs w:val="22"/>
          <w:lang w:bidi="ar-SA"/>
        </w:rPr>
        <w:t xml:space="preserve"> allow</w:t>
      </w:r>
      <w:r>
        <w:rPr>
          <w:rFonts w:eastAsiaTheme="minorHAnsi" w:cstheme="minorBidi"/>
          <w:color w:val="000000" w:themeColor="text1"/>
          <w:sz w:val="22"/>
          <w:szCs w:val="22"/>
          <w:lang w:bidi="ar-SA"/>
        </w:rPr>
        <w:t xml:space="preserve"> </w:t>
      </w:r>
      <w:r w:rsidRPr="00007BD0">
        <w:rPr>
          <w:rFonts w:eastAsiaTheme="minorHAnsi" w:cstheme="minorBidi"/>
          <w:color w:val="000000" w:themeColor="text1"/>
          <w:sz w:val="22"/>
          <w:szCs w:val="22"/>
          <w:lang w:bidi="ar-SA"/>
        </w:rPr>
        <w:t>electrical testing of other devices (inverters, motors, drives, etc.) when the wind turbines are under mechanical testing in the adjoining existing test bed</w:t>
      </w:r>
      <w:r>
        <w:rPr>
          <w:rFonts w:eastAsiaTheme="minorHAnsi" w:cstheme="minorBidi"/>
          <w:color w:val="000000" w:themeColor="text1"/>
          <w:sz w:val="22"/>
          <w:szCs w:val="22"/>
          <w:lang w:bidi="ar-SA"/>
        </w:rPr>
        <w:t>s</w:t>
      </w:r>
      <w:r w:rsidRPr="00007BD0">
        <w:rPr>
          <w:rFonts w:eastAsiaTheme="minorHAnsi" w:cstheme="minorBidi"/>
          <w:color w:val="000000" w:themeColor="text1"/>
          <w:sz w:val="22"/>
          <w:szCs w:val="22"/>
          <w:lang w:bidi="ar-SA"/>
        </w:rPr>
        <w:t xml:space="preserve">. This flexibility will allow </w:t>
      </w:r>
      <w:r>
        <w:rPr>
          <w:rFonts w:eastAsiaTheme="minorHAnsi" w:cstheme="minorBidi"/>
          <w:color w:val="000000" w:themeColor="text1"/>
          <w:sz w:val="22"/>
          <w:szCs w:val="22"/>
          <w:lang w:bidi="ar-SA"/>
        </w:rPr>
        <w:t xml:space="preserve">such facilities </w:t>
      </w:r>
      <w:r w:rsidRPr="00007BD0">
        <w:rPr>
          <w:rFonts w:eastAsiaTheme="minorHAnsi" w:cstheme="minorBidi"/>
          <w:color w:val="000000" w:themeColor="text1"/>
          <w:sz w:val="22"/>
          <w:szCs w:val="22"/>
          <w:lang w:bidi="ar-SA"/>
        </w:rPr>
        <w:t>not only to be of value to the wind industry but also to provide valuable testing services for innovations in solar, energy storage, smart grid, grid security, and other distributed energy devices as well as verification of existing transmission models and investigation of unique transient events.</w:t>
      </w:r>
    </w:p>
    <w:p w14:paraId="477A9B9D" w14:textId="4E8D2527" w:rsidR="001957C6" w:rsidRPr="00AF21F4" w:rsidRDefault="001957C6" w:rsidP="0022643B">
      <w:pPr>
        <w:pStyle w:val="Heading4"/>
      </w:pPr>
      <w:bookmarkStart w:id="95" w:name="_Toc158376369"/>
      <w:r w:rsidRPr="00AF21F4">
        <w:t>Power HIL and HPC Facility</w:t>
      </w:r>
      <w:bookmarkEnd w:id="95"/>
      <w:r w:rsidRPr="00AF21F4">
        <w:t xml:space="preserve"> </w:t>
      </w:r>
    </w:p>
    <w:p w14:paraId="2463CC8D" w14:textId="6395EC5E" w:rsidR="001957C6" w:rsidRDefault="001957C6" w:rsidP="00EA03DD">
      <w:pPr>
        <w:pStyle w:val="BodyText"/>
        <w:spacing w:after="0"/>
      </w:pPr>
      <w:r>
        <w:t>There is a dire need for new simulation tools and high-performance computing (HPC) facilities for large system simulations of hybrid AC/DC (that involves parallel operation of onshore and offshore energy networks) and hydrogen (H</w:t>
      </w:r>
      <w:r w:rsidRPr="00A023A7">
        <w:rPr>
          <w:vertAlign w:val="subscript"/>
        </w:rPr>
        <w:t>2</w:t>
      </w:r>
      <w:r>
        <w:t>) networks. The EMT simulations for AC/DC protection and transient studies are also critical for the reliable operation of these systems. These HIL, simulation, and emulation facilities are essential for low-scale, low-cost, and safe operational testing, and controls verification for offshore HVDC systems.</w:t>
      </w:r>
    </w:p>
    <w:p w14:paraId="23AB0AC7" w14:textId="77777777" w:rsidR="001957C6" w:rsidRDefault="001957C6" w:rsidP="001957C6">
      <w:pPr>
        <w:pStyle w:val="BodyText"/>
        <w:spacing w:after="0"/>
      </w:pPr>
      <w:r>
        <w:lastRenderedPageBreak/>
        <w:t>The above-discussed efforts will be helpful to realize the following objectives:</w:t>
      </w:r>
    </w:p>
    <w:p w14:paraId="73C927B1" w14:textId="43169898" w:rsidR="001957C6" w:rsidRDefault="001957C6" w:rsidP="00C2176A">
      <w:pPr>
        <w:pStyle w:val="BodyText"/>
        <w:spacing w:after="0"/>
        <w:ind w:left="720"/>
      </w:pPr>
      <w:r>
        <w:t>Impact</w:t>
      </w:r>
      <w:r w:rsidR="00C2176A">
        <w:tab/>
      </w:r>
      <w:r w:rsidR="00C2176A">
        <w:tab/>
      </w:r>
      <w:r>
        <w:t>=&gt; Large-scale interconnection of on- and offshore renewables.</w:t>
      </w:r>
    </w:p>
    <w:p w14:paraId="0704A25F" w14:textId="0257D796" w:rsidR="001957C6" w:rsidRDefault="001957C6" w:rsidP="00C2176A">
      <w:pPr>
        <w:pStyle w:val="BodyText"/>
        <w:spacing w:after="0"/>
        <w:ind w:left="720"/>
      </w:pPr>
      <w:r>
        <w:t>Transform</w:t>
      </w:r>
      <w:r w:rsidR="00C2176A">
        <w:tab/>
      </w:r>
      <w:r>
        <w:t>=&gt; De-risking Affordable and Reliable Technology</w:t>
      </w:r>
    </w:p>
    <w:p w14:paraId="57D5CDBC" w14:textId="34511122" w:rsidR="001957C6" w:rsidRDefault="001957C6" w:rsidP="00EA03DD">
      <w:pPr>
        <w:pStyle w:val="BodyText"/>
        <w:spacing w:after="240"/>
        <w:ind w:left="720"/>
      </w:pPr>
      <w:r>
        <w:t>Bridge</w:t>
      </w:r>
      <w:r w:rsidR="00C2176A">
        <w:tab/>
      </w:r>
      <w:r w:rsidR="00C2176A">
        <w:tab/>
      </w:r>
      <w:r>
        <w:t>=&gt; Scalable Interconnections for Energy Transition</w:t>
      </w:r>
    </w:p>
    <w:p w14:paraId="3637124B" w14:textId="696D9BEA" w:rsidR="00C2176A" w:rsidRDefault="00C2176A" w:rsidP="00C2176A">
      <w:pPr>
        <w:pStyle w:val="Heading2"/>
      </w:pPr>
      <w:bookmarkStart w:id="96" w:name="_Toc158376370"/>
      <w:r>
        <w:t>Policy Assessment</w:t>
      </w:r>
      <w:bookmarkEnd w:id="96"/>
    </w:p>
    <w:p w14:paraId="70697C8B" w14:textId="1F703AA4" w:rsidR="004D2893" w:rsidRDefault="004D2893" w:rsidP="004D2893">
      <w:pPr>
        <w:pStyle w:val="BodyText"/>
      </w:pPr>
      <w:r>
        <w:t xml:space="preserve">In this section, we will review principles we proposed in Deliverable D5.3 for building the modern electricity market for renewables including offshore wind. </w:t>
      </w:r>
    </w:p>
    <w:p w14:paraId="19DBDDEE" w14:textId="77777777" w:rsidR="004D2893" w:rsidRDefault="004D2893" w:rsidP="00346F63">
      <w:pPr>
        <w:pStyle w:val="Heading3"/>
        <w:numPr>
          <w:ilvl w:val="2"/>
          <w:numId w:val="47"/>
        </w:numPr>
      </w:pPr>
      <w:bookmarkStart w:id="97" w:name="_Toc148456894"/>
      <w:bookmarkStart w:id="98" w:name="_Toc158376371"/>
      <w:r>
        <w:t>The Role of the Federal Government</w:t>
      </w:r>
      <w:bookmarkEnd w:id="97"/>
      <w:bookmarkEnd w:id="98"/>
    </w:p>
    <w:p w14:paraId="22DDA9A3" w14:textId="3C1FC123" w:rsidR="004D2893" w:rsidRPr="00E94483" w:rsidRDefault="004D2893" w:rsidP="004D2893">
      <w:pPr>
        <w:pStyle w:val="BodyText"/>
      </w:pPr>
      <w:r>
        <w:t>Federal leadership is critical for</w:t>
      </w:r>
      <w:r w:rsidRPr="00E94483">
        <w:t xml:space="preserve"> offshore transmission development. </w:t>
      </w:r>
      <w:r>
        <w:t xml:space="preserve">For instance, national standards for HVDC, as discussed in the previous section, need to be established so that projects built in the next few years are </w:t>
      </w:r>
      <w:r w:rsidRPr="00E94483">
        <w:t xml:space="preserve">“future-ready” – that is, designed to be compatible with future projects. This requires expandability, compatibility, and interoperability in HVDC technology. To make a multi-terminal grid, </w:t>
      </w:r>
      <w:r>
        <w:t>future projects</w:t>
      </w:r>
      <w:r w:rsidRPr="00E94483">
        <w:t xml:space="preserve"> must be physically able to make a connection to the </w:t>
      </w:r>
      <w:r>
        <w:t>HV</w:t>
      </w:r>
      <w:r w:rsidRPr="00E94483">
        <w:t xml:space="preserve">DC system. Even if current projects are not interconnected right now, adding expandability creates the option for these projects to interconnect in the future. For a multi-terminal system to work, the various </w:t>
      </w:r>
      <w:r>
        <w:t>HV</w:t>
      </w:r>
      <w:r w:rsidRPr="00E94483">
        <w:t xml:space="preserve">DC systems connected to it must have the same voltage rating. Furthermore, the systems must be interoperable. A functional multi-terminal system requires individual systems to be able to communicate with each other. The </w:t>
      </w:r>
      <w:r>
        <w:t xml:space="preserve">U.S. </w:t>
      </w:r>
      <w:r w:rsidRPr="00E94483">
        <w:t xml:space="preserve">DOE can </w:t>
      </w:r>
      <w:r>
        <w:t>motivate the development of</w:t>
      </w:r>
      <w:r w:rsidRPr="00E94483">
        <w:t xml:space="preserve"> standards in this industry to ensure that new projects will be future-ready.</w:t>
      </w:r>
    </w:p>
    <w:p w14:paraId="2CC19235" w14:textId="62CC98ED" w:rsidR="004D2893" w:rsidRPr="00E94483" w:rsidRDefault="004D2893" w:rsidP="004D2893">
      <w:pPr>
        <w:pStyle w:val="BodyText"/>
      </w:pPr>
      <w:r w:rsidRPr="00E94483">
        <w:t xml:space="preserve">The DOE currently has several mechanisms in place to assist with the development of transmission and offshore wind. Funding is available through the Transmission and Grid Modernization divisions, and from the </w:t>
      </w:r>
      <w:r>
        <w:t>Grid Resilience and Innovation Partnerships (</w:t>
      </w:r>
      <w:r w:rsidRPr="00E94483">
        <w:t>GRIP</w:t>
      </w:r>
      <w:r>
        <w:t>)</w:t>
      </w:r>
      <w:r w:rsidRPr="00E94483">
        <w:t xml:space="preserve"> program. Historically, DOE </w:t>
      </w:r>
      <w:r>
        <w:t>funding</w:t>
      </w:r>
      <w:r w:rsidRPr="00E94483">
        <w:t xml:space="preserve"> has been very effective in motivating both states and developers. It should be noted that DOE can only fund a project once. The larger benefit of DOE funding projects is the gain in political capital. DOE can also use its funding to invest in the research, development, and demonstration of technologies related to the HVDC offshore grid. This investment will promote advancement of the HVDC supply chain.</w:t>
      </w:r>
    </w:p>
    <w:p w14:paraId="1912B361" w14:textId="77777777" w:rsidR="004D2893" w:rsidRPr="00E94483" w:rsidRDefault="004D2893" w:rsidP="004D2893">
      <w:pPr>
        <w:pStyle w:val="BodyText"/>
      </w:pPr>
      <w:r w:rsidRPr="00E94483">
        <w:t xml:space="preserve">The DOE has an opportunity to play a convening </w:t>
      </w:r>
      <w:r>
        <w:t xml:space="preserve">and backstop </w:t>
      </w:r>
      <w:r w:rsidRPr="00E94483">
        <w:t xml:space="preserve">role in OSW development. Some of the </w:t>
      </w:r>
      <w:r>
        <w:t>larger</w:t>
      </w:r>
      <w:r w:rsidRPr="00E94483">
        <w:t xml:space="preserve"> questions on OSW development impact multiple ISOs at once, such as how to integrate 85 GW of OSW on the East Coast. To answer these questions, ISOs need to </w:t>
      </w:r>
      <w:r>
        <w:t xml:space="preserve">be incentivized to </w:t>
      </w:r>
      <w:r w:rsidRPr="00E94483">
        <w:t>communicate</w:t>
      </w:r>
      <w:r>
        <w:t xml:space="preserve"> and collaborate more directly</w:t>
      </w:r>
      <w:r w:rsidRPr="00E94483">
        <w:t xml:space="preserve"> with each other</w:t>
      </w:r>
      <w:r>
        <w:t xml:space="preserve"> under the aegis of DOE and/or FERC</w:t>
      </w:r>
      <w:r w:rsidRPr="00E94483">
        <w:t xml:space="preserve">. The </w:t>
      </w:r>
      <w:r>
        <w:t xml:space="preserve">development of a </w:t>
      </w:r>
      <w:r w:rsidRPr="00E94483">
        <w:lastRenderedPageBreak/>
        <w:t>transmission backbone</w:t>
      </w:r>
      <w:r>
        <w:t xml:space="preserve"> is an example of a future area of focus for the appropriate DOE offices</w:t>
      </w:r>
      <w:r w:rsidRPr="00E94483">
        <w:t xml:space="preserve">, as it is hard for individual states or ISOs to create it. </w:t>
      </w:r>
    </w:p>
    <w:p w14:paraId="7D784595" w14:textId="77777777" w:rsidR="004D2893" w:rsidRDefault="004D2893" w:rsidP="004D2893">
      <w:pPr>
        <w:pStyle w:val="BodyText"/>
      </w:pPr>
      <w:r w:rsidRPr="00E94483">
        <w:t xml:space="preserve">As a new market </w:t>
      </w:r>
      <w:r>
        <w:t xml:space="preserve">and its corresponding set of OSW owners </w:t>
      </w:r>
      <w:r w:rsidRPr="00E94483">
        <w:t xml:space="preserve">evolve around the offshore grid, there </w:t>
      </w:r>
      <w:r>
        <w:t>should be</w:t>
      </w:r>
      <w:r w:rsidRPr="00E94483">
        <w:t xml:space="preserve"> </w:t>
      </w:r>
      <w:r>
        <w:t xml:space="preserve">an organization similar to </w:t>
      </w:r>
      <w:r w:rsidRPr="00E94483">
        <w:t>an offshore power authority to oversee the offshore grid. The DOE, which is currently the federal entity most closely connected to the oversight of a future offshore grid, has limited regulatory authority</w:t>
      </w:r>
      <w:r>
        <w:t xml:space="preserve"> on this issue and so may not be able to fulfill the needs of such a role</w:t>
      </w:r>
      <w:r w:rsidRPr="00E94483">
        <w:t>. Therefore, the federal government</w:t>
      </w:r>
      <w:r>
        <w:t>, perhaps with federal legislation,</w:t>
      </w:r>
      <w:r w:rsidRPr="00E94483">
        <w:t xml:space="preserve"> should </w:t>
      </w:r>
      <w:r>
        <w:t xml:space="preserve">consider creating </w:t>
      </w:r>
      <w:r w:rsidRPr="00E94483">
        <w:t xml:space="preserve">a new </w:t>
      </w:r>
      <w:r>
        <w:t xml:space="preserve">entity endowed with the necessary </w:t>
      </w:r>
      <w:r w:rsidRPr="00E94483">
        <w:t xml:space="preserve">authority. </w:t>
      </w:r>
    </w:p>
    <w:p w14:paraId="0A1271EC" w14:textId="196E1BAB" w:rsidR="004D2893" w:rsidRPr="00E94483" w:rsidRDefault="004D2893" w:rsidP="004D2893">
      <w:pPr>
        <w:pStyle w:val="BodyText"/>
      </w:pPr>
      <w:r>
        <w:t xml:space="preserve">There have been detractors from doing so. </w:t>
      </w:r>
      <w:r w:rsidRPr="00E94483">
        <w:t>The September 2023 Action Plan for Offshore Wind Transmission Development in the US Atlantic Region (</w:t>
      </w:r>
      <w:r w:rsidR="00266502">
        <w:t>DOE/DOI</w:t>
      </w:r>
      <w:r w:rsidR="00DC3EF5">
        <w:t>, 2023</w:t>
      </w:r>
      <w:r w:rsidRPr="00E94483">
        <w:t xml:space="preserve">) recommends against forming such an authority. The Action Plan claims that the jurisdictional </w:t>
      </w:r>
      <w:r>
        <w:t>complexity</w:t>
      </w:r>
      <w:r w:rsidRPr="00E94483">
        <w:t>, time, and cost of creating an authority would be far greater than any benefit it would provide, as existing entities already operate in the needed fashion. Rather, the Action Plan recommends implementing reforms to ensure joint planning among existing entities.</w:t>
      </w:r>
      <w:r>
        <w:t xml:space="preserve"> That approach is more limited in scope and could prove inadequate for the ultimate task and complexities.</w:t>
      </w:r>
    </w:p>
    <w:p w14:paraId="00A929E7" w14:textId="110BF621" w:rsidR="004D2893" w:rsidRDefault="00916667" w:rsidP="004D2893">
      <w:pPr>
        <w:pStyle w:val="BodyText"/>
      </w:pPr>
      <w:r>
        <w:t>Our opinion</w:t>
      </w:r>
      <w:r w:rsidR="004D2893">
        <w:t xml:space="preserve"> is</w:t>
      </w:r>
      <w:r w:rsidR="004D2893" w:rsidRPr="00E94483">
        <w:t xml:space="preserve"> that these jurisdictional challenges </w:t>
      </w:r>
      <w:r w:rsidR="004D2893">
        <w:t xml:space="preserve">will </w:t>
      </w:r>
      <w:r w:rsidR="004D2893" w:rsidRPr="00E94483">
        <w:t>motivate the</w:t>
      </w:r>
      <w:r w:rsidR="004D2893">
        <w:t xml:space="preserve"> eventual</w:t>
      </w:r>
      <w:r w:rsidR="004D2893" w:rsidRPr="00E94483">
        <w:t xml:space="preserve"> formation of a new offshore power authority. Existing </w:t>
      </w:r>
      <w:r w:rsidR="004D2893">
        <w:t>ISOs</w:t>
      </w:r>
      <w:r w:rsidR="004D2893" w:rsidRPr="00E94483">
        <w:t xml:space="preserve"> have their own land-based operational zones. The offshore grid will be buil</w:t>
      </w:r>
      <w:r w:rsidR="004D2893">
        <w:t>t</w:t>
      </w:r>
      <w:r w:rsidR="004D2893" w:rsidRPr="00E94483">
        <w:t xml:space="preserve"> in either state or federal waters; the grid will not fall under the jurisdiction of a singl</w:t>
      </w:r>
      <w:r w:rsidR="004D2893">
        <w:t>e</w:t>
      </w:r>
      <w:r w:rsidR="004D2893" w:rsidRPr="00E94483">
        <w:t xml:space="preserve"> </w:t>
      </w:r>
      <w:r w:rsidR="004D2893">
        <w:t>ISO</w:t>
      </w:r>
      <w:r w:rsidR="004D2893" w:rsidRPr="00E94483">
        <w:t xml:space="preserve">. If the </w:t>
      </w:r>
      <w:r w:rsidR="004D2893">
        <w:t xml:space="preserve">offshore </w:t>
      </w:r>
      <w:r w:rsidR="004D2893" w:rsidRPr="00E94483">
        <w:t xml:space="preserve">grid is </w:t>
      </w:r>
      <w:r w:rsidR="004D2893">
        <w:t>designed as a backbone corridor</w:t>
      </w:r>
      <w:r w:rsidR="004D2893" w:rsidRPr="00E94483">
        <w:t xml:space="preserve">, as </w:t>
      </w:r>
      <w:r w:rsidR="004D2893">
        <w:t>our group</w:t>
      </w:r>
      <w:r w:rsidR="004D2893" w:rsidRPr="00E94483">
        <w:t xml:space="preserve"> </w:t>
      </w:r>
      <w:r w:rsidR="004D2893">
        <w:t xml:space="preserve">has </w:t>
      </w:r>
      <w:r w:rsidR="004D2893" w:rsidRPr="00E94483">
        <w:t>suggest</w:t>
      </w:r>
      <w:r w:rsidR="004D2893">
        <w:t>ed and modeled</w:t>
      </w:r>
      <w:r w:rsidR="004D2893" w:rsidRPr="00E94483">
        <w:t xml:space="preserve">, it will interconnect onshore with multiple </w:t>
      </w:r>
      <w:r w:rsidR="004D2893">
        <w:t>ISOs</w:t>
      </w:r>
      <w:r w:rsidR="004D2893" w:rsidRPr="00E94483">
        <w:t xml:space="preserve">. While it is certainly useful for </w:t>
      </w:r>
      <w:r w:rsidR="004D2893">
        <w:t>ISOs</w:t>
      </w:r>
      <w:r w:rsidR="004D2893" w:rsidRPr="00E94483">
        <w:t xml:space="preserve"> to coordinate on planning, each </w:t>
      </w:r>
      <w:r w:rsidR="004D2893">
        <w:t>ISO</w:t>
      </w:r>
      <w:r w:rsidR="004D2893" w:rsidRPr="00E94483">
        <w:t xml:space="preserve"> is primarily concerned with its own area. The offshore grid needs its own authority, a new entity whose primary focus is the offshore grid. </w:t>
      </w:r>
    </w:p>
    <w:p w14:paraId="74B93B1C" w14:textId="77777777" w:rsidR="004D2893" w:rsidRPr="00E94483" w:rsidRDefault="004D2893" w:rsidP="00916667">
      <w:pPr>
        <w:pStyle w:val="Heading3"/>
        <w:rPr>
          <w:rFonts w:ascii="Times New Roman" w:hAnsi="Times New Roman"/>
        </w:rPr>
      </w:pPr>
      <w:bookmarkStart w:id="99" w:name="_Toc148456895"/>
      <w:bookmarkStart w:id="100" w:name="_Toc158376372"/>
      <w:r>
        <w:t>Interconnection Queue Process Reforms</w:t>
      </w:r>
      <w:bookmarkEnd w:id="99"/>
      <w:bookmarkEnd w:id="100"/>
    </w:p>
    <w:p w14:paraId="011DAA39" w14:textId="44E1FFB5" w:rsidR="004D2893" w:rsidRPr="00E94483" w:rsidRDefault="004D2893" w:rsidP="004D2893">
      <w:pPr>
        <w:pStyle w:val="BodyText"/>
      </w:pPr>
      <w:r w:rsidRPr="00E94483">
        <w:t xml:space="preserve">The </w:t>
      </w:r>
      <w:r>
        <w:t>inter</w:t>
      </w:r>
      <w:r w:rsidRPr="00E94483">
        <w:t xml:space="preserve">connection </w:t>
      </w:r>
      <w:r>
        <w:t xml:space="preserve">queue </w:t>
      </w:r>
      <w:r w:rsidRPr="00E94483">
        <w:t xml:space="preserve">process must </w:t>
      </w:r>
      <w:r>
        <w:t xml:space="preserve">enable participation </w:t>
      </w:r>
      <w:r w:rsidRPr="00E94483">
        <w:t xml:space="preserve">on equal footing. In the current process, developers are incentivized to </w:t>
      </w:r>
      <w:r>
        <w:t>submit early for interconnection consideration</w:t>
      </w:r>
      <w:r w:rsidRPr="00E94483">
        <w:t xml:space="preserve"> </w:t>
      </w:r>
      <w:r>
        <w:t xml:space="preserve">via </w:t>
      </w:r>
      <w:r w:rsidRPr="00E94483">
        <w:t>the queue</w:t>
      </w:r>
      <w:r>
        <w:t>.</w:t>
      </w:r>
      <w:r w:rsidRPr="00E94483">
        <w:t xml:space="preserve"> </w:t>
      </w:r>
      <w:r>
        <w:t>Developers who submit projects that</w:t>
      </w:r>
      <w:r w:rsidRPr="00E94483">
        <w:t xml:space="preserve"> </w:t>
      </w:r>
      <w:r>
        <w:t xml:space="preserve">are </w:t>
      </w:r>
      <w:r w:rsidRPr="00E94483">
        <w:t>not ready to move forward</w:t>
      </w:r>
      <w:r>
        <w:t xml:space="preserve"> may benefit, because</w:t>
      </w:r>
      <w:r w:rsidRPr="00E94483">
        <w:t xml:space="preserve"> projects </w:t>
      </w:r>
      <w:r>
        <w:t>receive consideration and advance</w:t>
      </w:r>
      <w:r w:rsidRPr="00E94483">
        <w:t xml:space="preserve"> based on queue position. </w:t>
      </w:r>
      <w:r>
        <w:t>Therefore, d</w:t>
      </w:r>
      <w:r w:rsidRPr="00E94483">
        <w:t>evelopers who wait to enter the queue until they</w:t>
      </w:r>
      <w:r>
        <w:t xml:space="preserve"> are</w:t>
      </w:r>
      <w:r w:rsidRPr="00E94483">
        <w:t xml:space="preserve"> ready to interconnect their projects are at a distinct disadvantage. In addition, the current rules have created </w:t>
      </w:r>
      <w:r>
        <w:t>large</w:t>
      </w:r>
      <w:r w:rsidRPr="00E94483">
        <w:t xml:space="preserve"> queue backlog</w:t>
      </w:r>
      <w:r>
        <w:t xml:space="preserve">s; the sum the country’s queues is </w:t>
      </w:r>
      <w:r w:rsidRPr="00E94483">
        <w:t xml:space="preserve">the largest in history (over 2 </w:t>
      </w:r>
      <w:r w:rsidR="00DC3EF5">
        <w:t>T</w:t>
      </w:r>
      <w:r w:rsidRPr="00E94483">
        <w:t xml:space="preserve">W at the end of 2022). This has also led to great uncertainty with regard to the timing for bringing projects </w:t>
      </w:r>
      <w:r w:rsidRPr="00E94483">
        <w:lastRenderedPageBreak/>
        <w:t xml:space="preserve">online. The current queue system is a significant component in how long it takes for offshore wind projects to be completed. </w:t>
      </w:r>
    </w:p>
    <w:p w14:paraId="6A17EDE6" w14:textId="0A82B97F" w:rsidR="004D2893" w:rsidRPr="00E94483" w:rsidRDefault="004D2893" w:rsidP="004D2893">
      <w:pPr>
        <w:pStyle w:val="BodyText"/>
      </w:pPr>
      <w:r w:rsidRPr="00E94483">
        <w:t xml:space="preserve">In July 2023, </w:t>
      </w:r>
      <w:r w:rsidR="00DC3EF5">
        <w:t>FERC</w:t>
      </w:r>
      <w:r w:rsidRPr="00E94483">
        <w:t xml:space="preserve"> issued Order No. 2023, which </w:t>
      </w:r>
      <w:r>
        <w:t>begins</w:t>
      </w:r>
      <w:r w:rsidRPr="00E94483">
        <w:t xml:space="preserve"> to address these issues through reforms to the queue interconnection process. </w:t>
      </w:r>
      <w:r>
        <w:t xml:space="preserve">Note, the discussions in the June 2023 workshop </w:t>
      </w:r>
      <w:r w:rsidR="00DC3EF5">
        <w:t xml:space="preserve">(listed in </w:t>
      </w:r>
      <w:r w:rsidR="00DC3EF5">
        <w:fldChar w:fldCharType="begin"/>
      </w:r>
      <w:r w:rsidR="00DC3EF5">
        <w:instrText xml:space="preserve"> REF _Ref124000229 \h </w:instrText>
      </w:r>
      <w:r w:rsidR="00DC3EF5">
        <w:fldChar w:fldCharType="separate"/>
      </w:r>
      <w:r w:rsidR="00F37ECF" w:rsidRPr="008C67E8">
        <w:t xml:space="preserve">Table </w:t>
      </w:r>
      <w:r w:rsidR="00F37ECF">
        <w:rPr>
          <w:noProof/>
        </w:rPr>
        <w:t>6</w:t>
      </w:r>
      <w:r w:rsidR="00DC3EF5">
        <w:fldChar w:fldCharType="end"/>
      </w:r>
      <w:r w:rsidR="00DC3EF5">
        <w:t xml:space="preserve">) </w:t>
      </w:r>
      <w:r>
        <w:t xml:space="preserve">preceded the issuance of this FERC order. </w:t>
      </w:r>
      <w:r w:rsidRPr="00E94483">
        <w:t>The Order introduces a new first-ready, first-served cluster study process. In the current system, interconnection requests are studied sequentially. The new system will allow a group of interconnection requests to be studied at the same time. All of the requests will be assigned the same queue priority. As part of this reform, FERC is increasing both financial commitments and withdrawal penalties. The Order was published to the federal register in September 2023.</w:t>
      </w:r>
    </w:p>
    <w:p w14:paraId="330E7C4E" w14:textId="77777777" w:rsidR="004D2893" w:rsidRPr="00E94483" w:rsidRDefault="004D2893" w:rsidP="004D2893">
      <w:pPr>
        <w:pStyle w:val="BodyText"/>
      </w:pPr>
      <w:r w:rsidRPr="00E94483">
        <w:t xml:space="preserve">Order No. 2023 removes the “reasonable efforts” standard, which requires transmission providers to use “reasonable efforts” to complete the interconnection process, but </w:t>
      </w:r>
      <w:r>
        <w:t xml:space="preserve">it </w:t>
      </w:r>
      <w:r w:rsidRPr="00E94483">
        <w:t xml:space="preserve">does not impose any consequences if the providers do not meet their deadlines. Instead of this standard, the reform introduces firm study deadlines and significant financial penalties if the providers do not meet their deadlines. Finally, the Order incorporates technological advancements into its process, such as requiring transmission providers to allow more than one generation facility to co-locate and share a single POI. </w:t>
      </w:r>
    </w:p>
    <w:p w14:paraId="4DC382EB" w14:textId="77777777" w:rsidR="004D2893" w:rsidRPr="00E94483" w:rsidRDefault="004D2893" w:rsidP="004D2893">
      <w:pPr>
        <w:pStyle w:val="BodyText"/>
      </w:pPr>
      <w:r w:rsidRPr="00E94483">
        <w:t xml:space="preserve">All of </w:t>
      </w:r>
      <w:r>
        <w:t xml:space="preserve">these </w:t>
      </w:r>
      <w:r w:rsidRPr="00E94483">
        <w:t xml:space="preserve">reforms seek to increase efficiency in the interconnection process. By removing some of the incentives for developers to join the queue early, the Order may result in a more </w:t>
      </w:r>
      <w:r>
        <w:t xml:space="preserve">open </w:t>
      </w:r>
      <w:r w:rsidRPr="00E94483">
        <w:t xml:space="preserve">playing field for transmission providers. </w:t>
      </w:r>
    </w:p>
    <w:p w14:paraId="60824F41" w14:textId="00A4A0D7" w:rsidR="004D2893" w:rsidRDefault="004D2893" w:rsidP="004D2893">
      <w:pPr>
        <w:pStyle w:val="BodyText"/>
      </w:pPr>
      <w:r>
        <w:t xml:space="preserve">The </w:t>
      </w:r>
      <w:r w:rsidRPr="00E94483">
        <w:t>September 2023 Action Plan</w:t>
      </w:r>
      <w:r w:rsidR="00890C89">
        <w:t xml:space="preserve"> (DOE/DOI, 2023)</w:t>
      </w:r>
      <w:r>
        <w:t>, developed by DOE</w:t>
      </w:r>
      <w:r w:rsidR="0059178C">
        <w:t xml:space="preserve"> </w:t>
      </w:r>
      <w:r w:rsidR="0059178C">
        <w:t>in partnership with</w:t>
      </w:r>
      <w:r>
        <w:t xml:space="preserve"> BOEM, </w:t>
      </w:r>
      <w:r w:rsidR="00D50356">
        <w:t>addresses</w:t>
      </w:r>
      <w:r w:rsidR="00D27A79">
        <w:t xml:space="preserve"> </w:t>
      </w:r>
      <w:r w:rsidR="00257278">
        <w:t>the interconnection queue process</w:t>
      </w:r>
      <w:r w:rsidR="009315BA">
        <w:t xml:space="preserve"> with an eye </w:t>
      </w:r>
      <w:r w:rsidR="00AF4443">
        <w:t>to aligning</w:t>
      </w:r>
      <w:r w:rsidR="0062286D">
        <w:t xml:space="preserve"> the state solicitation process</w:t>
      </w:r>
      <w:r w:rsidR="009763B6">
        <w:t>es already</w:t>
      </w:r>
      <w:r w:rsidR="0062286D">
        <w:t xml:space="preserve"> underway</w:t>
      </w:r>
      <w:r>
        <w:t>.</w:t>
      </w:r>
      <w:r w:rsidRPr="00E94483">
        <w:t xml:space="preserve"> The Action Plan recommends </w:t>
      </w:r>
      <w:r w:rsidR="001310D7">
        <w:t xml:space="preserve">enabling </w:t>
      </w:r>
      <w:r w:rsidRPr="00E94483">
        <w:t>soliciting entities (such as states who solicit offshore wind bids) to join the interconnection queue</w:t>
      </w:r>
      <w:r w:rsidR="00AF4443">
        <w:t xml:space="preserve"> as a holding pattern</w:t>
      </w:r>
      <w:r w:rsidRPr="00E94483">
        <w:t xml:space="preserve">. The </w:t>
      </w:r>
      <w:r w:rsidR="009763B6">
        <w:t xml:space="preserve">concept </w:t>
      </w:r>
      <w:r w:rsidRPr="00E94483">
        <w:t xml:space="preserve">behind this suggestion is for soliciting </w:t>
      </w:r>
      <w:r w:rsidR="009763B6" w:rsidRPr="00E94483">
        <w:t>entities</w:t>
      </w:r>
      <w:r w:rsidR="009763B6">
        <w:t>, such</w:t>
      </w:r>
      <w:r w:rsidR="00A932A3">
        <w:t xml:space="preserve"> as states,</w:t>
      </w:r>
      <w:r w:rsidR="009763B6">
        <w:t xml:space="preserve"> </w:t>
      </w:r>
      <w:r w:rsidRPr="00E94483">
        <w:t xml:space="preserve">to be able to ensure that </w:t>
      </w:r>
      <w:r w:rsidR="00CA01EF">
        <w:t xml:space="preserve">a </w:t>
      </w:r>
      <w:r w:rsidRPr="00E94483">
        <w:t>winning project has a queue position</w:t>
      </w:r>
      <w:r w:rsidR="00C12370">
        <w:t xml:space="preserve"> </w:t>
      </w:r>
      <w:r w:rsidRPr="00E94483">
        <w:t>.</w:t>
      </w:r>
      <w:r w:rsidR="007C3E0C">
        <w:t xml:space="preserve">As support for this </w:t>
      </w:r>
      <w:r w:rsidR="00F2426C">
        <w:t>approach</w:t>
      </w:r>
      <w:r w:rsidR="004F7755">
        <w:t xml:space="preserve">, the </w:t>
      </w:r>
      <w:r w:rsidR="00CA01EF">
        <w:t xml:space="preserve">Action </w:t>
      </w:r>
      <w:r w:rsidR="004F7755">
        <w:t>Plan refers</w:t>
      </w:r>
      <w:r w:rsidR="00C12370">
        <w:t xml:space="preserve"> to</w:t>
      </w:r>
      <w:r w:rsidR="004F7755">
        <w:t xml:space="preserve"> </w:t>
      </w:r>
      <w:r w:rsidR="006B2E29">
        <w:t xml:space="preserve">a </w:t>
      </w:r>
      <w:r w:rsidR="00A932A3">
        <w:t xml:space="preserve">2004 </w:t>
      </w:r>
      <w:r w:rsidR="006B2E29">
        <w:t>co</w:t>
      </w:r>
      <w:r w:rsidR="00645430">
        <w:t xml:space="preserve">mpliance filing </w:t>
      </w:r>
      <w:r w:rsidR="00A932A3">
        <w:t xml:space="preserve">of Xcel Energy </w:t>
      </w:r>
      <w:r w:rsidR="00FE5CE6">
        <w:t>(</w:t>
      </w:r>
      <w:r w:rsidR="00341435">
        <w:t>FERC, 2004)</w:t>
      </w:r>
      <w:r w:rsidR="00F2426C">
        <w:t>.</w:t>
      </w:r>
      <w:r w:rsidR="00A932A3">
        <w:t xml:space="preserve"> </w:t>
      </w:r>
      <w:r>
        <w:t xml:space="preserve"> </w:t>
      </w:r>
      <w:r w:rsidRPr="00E94483">
        <w:t xml:space="preserve">Based on the discussion in the June workshop, attendees </w:t>
      </w:r>
      <w:r w:rsidR="00F366A2">
        <w:t xml:space="preserve">support </w:t>
      </w:r>
      <w:r w:rsidRPr="00E94483">
        <w:t xml:space="preserve">reforms </w:t>
      </w:r>
      <w:r w:rsidR="00F366A2">
        <w:t xml:space="preserve">embodied in </w:t>
      </w:r>
      <w:r w:rsidRPr="00E94483">
        <w:t>FERC Order No. 2023</w:t>
      </w:r>
      <w:r w:rsidR="00890C89">
        <w:t xml:space="preserve"> (FERC, 2023)</w:t>
      </w:r>
      <w:r w:rsidR="00A97181">
        <w:t xml:space="preserve"> and policies</w:t>
      </w:r>
      <w:r w:rsidR="00050E73">
        <w:t xml:space="preserve"> that</w:t>
      </w:r>
      <w:r w:rsidR="00A97181">
        <w:t xml:space="preserve"> enable projects to move forward </w:t>
      </w:r>
      <w:r w:rsidR="00E52350">
        <w:t>while</w:t>
      </w:r>
      <w:r w:rsidR="00A97181">
        <w:t xml:space="preserve"> re</w:t>
      </w:r>
      <w:r w:rsidR="00573EB4">
        <w:t xml:space="preserve">lieving </w:t>
      </w:r>
      <w:r w:rsidR="00AA4229">
        <w:t>backlogs</w:t>
      </w:r>
      <w:r w:rsidR="002154AB">
        <w:t xml:space="preserve"> efficiently and equitably</w:t>
      </w:r>
      <w:r w:rsidR="00AA4229">
        <w:t>.</w:t>
      </w:r>
      <w:r w:rsidR="001C1E00">
        <w:t xml:space="preserve"> It should be noted that</w:t>
      </w:r>
      <w:r w:rsidR="00AA4229">
        <w:t xml:space="preserve"> </w:t>
      </w:r>
      <w:r w:rsidR="008C6719">
        <w:t>o</w:t>
      </w:r>
      <w:r w:rsidR="00430EAB">
        <w:t>ffshore wind projects make landfall at</w:t>
      </w:r>
      <w:r w:rsidR="001C1E00">
        <w:t xml:space="preserve"> beachheads</w:t>
      </w:r>
      <w:r w:rsidR="008C6719">
        <w:t xml:space="preserve"> and may face a range of interconnection</w:t>
      </w:r>
      <w:r w:rsidR="00BE0C78">
        <w:t xml:space="preserve"> challenges that will require </w:t>
      </w:r>
      <w:r w:rsidR="0077738D">
        <w:t>additional planning considerations</w:t>
      </w:r>
      <w:r w:rsidR="00BE057F">
        <w:t xml:space="preserve">. See Section </w:t>
      </w:r>
      <w:r w:rsidR="00BE057F">
        <w:fldChar w:fldCharType="begin"/>
      </w:r>
      <w:r w:rsidR="00BE057F">
        <w:instrText xml:space="preserve"> REF _Ref158897539 \r \h </w:instrText>
      </w:r>
      <w:r w:rsidR="00BE057F">
        <w:fldChar w:fldCharType="separate"/>
      </w:r>
      <w:r w:rsidR="00BE057F">
        <w:t>6.4</w:t>
      </w:r>
      <w:r w:rsidR="00BE057F">
        <w:fldChar w:fldCharType="end"/>
      </w:r>
      <w:r w:rsidR="00BE057F">
        <w:t xml:space="preserve"> for further discussion</w:t>
      </w:r>
      <w:r w:rsidR="00E61BC7">
        <w:t xml:space="preserve"> of this concept of beachheads in the context of recommended procurement processes</w:t>
      </w:r>
      <w:r w:rsidR="00BE057F">
        <w:t>.</w:t>
      </w:r>
    </w:p>
    <w:p w14:paraId="0227614F" w14:textId="6498DEC7" w:rsidR="004D2893" w:rsidRDefault="004D2893" w:rsidP="004D2893">
      <w:pPr>
        <w:pStyle w:val="BodyText"/>
      </w:pPr>
      <w:r>
        <w:lastRenderedPageBreak/>
        <w:t>It is clear from both the Action Plan and FERC Order No. 2023 that the federal government is aware of and addressing the issues in the interconnection queue process. There will need to be a reconciliation moving forward between the outcomes of the Action Plan and the Order. While the FERC Order has been issued, and we anticipate the process moving forward, there is an implementation process yet to come.</w:t>
      </w:r>
    </w:p>
    <w:p w14:paraId="3BCCCE5E" w14:textId="77777777" w:rsidR="004D2893" w:rsidRDefault="004D2893" w:rsidP="009E4D7D">
      <w:pPr>
        <w:pStyle w:val="Heading3"/>
      </w:pPr>
      <w:bookmarkStart w:id="101" w:name="_Toc148456896"/>
      <w:bookmarkStart w:id="102" w:name="_Toc158376373"/>
      <w:r>
        <w:t>Community Benefits with Accountability</w:t>
      </w:r>
      <w:bookmarkEnd w:id="101"/>
      <w:bookmarkEnd w:id="102"/>
    </w:p>
    <w:p w14:paraId="72B1CA44" w14:textId="32A20E52" w:rsidR="00C2176A" w:rsidRDefault="004D2893" w:rsidP="004D2893">
      <w:pPr>
        <w:pStyle w:val="BodyText"/>
      </w:pPr>
      <w:r w:rsidRPr="00E94483">
        <w:t>When planning a project, the importance of stakeholder engagement at the local level cannot be overstated. Developers cannot simply come into an area and begin building; they must garner community support for their projects. Because of this, developers and policymakers must engage with the community</w:t>
      </w:r>
      <w:r>
        <w:t>, demonstrating</w:t>
      </w:r>
      <w:r w:rsidRPr="00E94483">
        <w:t xml:space="preserve"> that </w:t>
      </w:r>
      <w:r>
        <w:t>the project will have actual</w:t>
      </w:r>
      <w:r w:rsidRPr="00E94483">
        <w:t xml:space="preserve"> community benefits. Quantifiable benefits may include new jobs and economic growth in the local community. Environmentally, developers must do no harm</w:t>
      </w:r>
      <w:r>
        <w:t xml:space="preserve"> and perhaps provide certain improvements to local areas of concern</w:t>
      </w:r>
      <w:r w:rsidRPr="00E94483">
        <w:t xml:space="preserve">. </w:t>
      </w:r>
      <w:r>
        <w:t>There also has to be accountability so that the benefits promised to the local communities are actually delivered in the expected time frame and meet the level of community expectation. Energy facility siting is a complex task, often under the oversight of state siting boards.</w:t>
      </w:r>
      <w:r w:rsidRPr="00E94483">
        <w:t xml:space="preserve"> Community participation in the specifics of siting</w:t>
      </w:r>
      <w:r>
        <w:t xml:space="preserve"> is critical for the local acceptance of the infrastructure associated with OSW</w:t>
      </w:r>
      <w:r w:rsidRPr="00E94483">
        <w:t xml:space="preserve">. </w:t>
      </w:r>
      <w:r>
        <w:t>Input and high-quality communication with key local and community officials improves the ease of the development process, especially when there is construction impacting traffic and noise. If siting and local input is not included from the early stage of the process, more serious opposition can develop, which will at a minimum delay projects or lead to legal intervention with dissatisfied local communities.</w:t>
      </w:r>
    </w:p>
    <w:p w14:paraId="5E237BB4" w14:textId="35D78826" w:rsidR="009E4D7D" w:rsidRDefault="009E4D7D" w:rsidP="009E4D7D">
      <w:pPr>
        <w:pStyle w:val="Heading2"/>
      </w:pPr>
      <w:bookmarkStart w:id="103" w:name="_Toc158376374"/>
      <w:bookmarkStart w:id="104" w:name="_Ref158897539"/>
      <w:r>
        <w:t>Recommendations</w:t>
      </w:r>
      <w:r w:rsidR="00457958">
        <w:t xml:space="preserve"> for an Offshore/Onshore MT-HVDC System</w:t>
      </w:r>
      <w:bookmarkEnd w:id="103"/>
      <w:bookmarkEnd w:id="104"/>
    </w:p>
    <w:p w14:paraId="7E674FDF" w14:textId="1169A5E8" w:rsidR="008B594C" w:rsidRDefault="008B594C" w:rsidP="008B594C">
      <w:pPr>
        <w:pStyle w:val="BodyText"/>
      </w:pPr>
      <w:r>
        <w:t xml:space="preserve">Drawing from our work under the three major headings of power systems analysis, HVDC technology, and policy assessment, we offer the following DRAFT System Specifications and DRAFT Procurement Process as outlined in </w:t>
      </w:r>
      <w:r>
        <w:fldChar w:fldCharType="begin"/>
      </w:r>
      <w:r>
        <w:instrText xml:space="preserve"> REF _Ref157252438 \h </w:instrText>
      </w:r>
      <w:r>
        <w:fldChar w:fldCharType="separate"/>
      </w:r>
      <w:r w:rsidR="00F37ECF">
        <w:t xml:space="preserve">Figure </w:t>
      </w:r>
      <w:r w:rsidR="00F37ECF">
        <w:rPr>
          <w:noProof/>
        </w:rPr>
        <w:t>8</w:t>
      </w:r>
      <w:r>
        <w:fldChar w:fldCharType="end"/>
      </w:r>
      <w:r>
        <w:t xml:space="preserve">, </w:t>
      </w:r>
      <w:r>
        <w:fldChar w:fldCharType="begin"/>
      </w:r>
      <w:r>
        <w:instrText xml:space="preserve"> REF _Ref157252444 \h </w:instrText>
      </w:r>
      <w:r>
        <w:fldChar w:fldCharType="separate"/>
      </w:r>
      <w:r w:rsidR="00F37ECF">
        <w:t xml:space="preserve">Figure </w:t>
      </w:r>
      <w:r w:rsidR="00F37ECF">
        <w:rPr>
          <w:noProof/>
        </w:rPr>
        <w:t>9</w:t>
      </w:r>
      <w:r>
        <w:fldChar w:fldCharType="end"/>
      </w:r>
      <w:r>
        <w:t xml:space="preserve">, and </w:t>
      </w:r>
      <w:r>
        <w:fldChar w:fldCharType="begin"/>
      </w:r>
      <w:r>
        <w:instrText xml:space="preserve"> REF _Ref157252446 \h </w:instrText>
      </w:r>
      <w:r>
        <w:fldChar w:fldCharType="separate"/>
      </w:r>
      <w:r w:rsidR="00F37ECF">
        <w:t xml:space="preserve">Figure </w:t>
      </w:r>
      <w:r w:rsidR="00F37ECF">
        <w:rPr>
          <w:noProof/>
        </w:rPr>
        <w:t>10</w:t>
      </w:r>
      <w:r>
        <w:fldChar w:fldCharType="end"/>
      </w:r>
      <w:r>
        <w:t xml:space="preserve"> on the following page.</w:t>
      </w:r>
      <w:r w:rsidR="002D7830">
        <w:t xml:space="preserve"> The three models developed in this project and outlined in </w:t>
      </w:r>
      <w:r w:rsidR="002D7830">
        <w:fldChar w:fldCharType="begin"/>
      </w:r>
      <w:r w:rsidR="002D7830">
        <w:instrText xml:space="preserve"> REF _Ref156142619 \h </w:instrText>
      </w:r>
      <w:r w:rsidR="002D7830">
        <w:fldChar w:fldCharType="separate"/>
      </w:r>
      <w:r w:rsidR="00F37ECF">
        <w:t xml:space="preserve">Table </w:t>
      </w:r>
      <w:r w:rsidR="00F37ECF">
        <w:rPr>
          <w:noProof/>
        </w:rPr>
        <w:t>1</w:t>
      </w:r>
      <w:r w:rsidR="002D7830">
        <w:fldChar w:fldCharType="end"/>
      </w:r>
      <w:r w:rsidR="002D7830">
        <w:t xml:space="preserve"> and </w:t>
      </w:r>
      <w:r w:rsidR="002D7830">
        <w:fldChar w:fldCharType="begin"/>
      </w:r>
      <w:r w:rsidR="002D7830">
        <w:instrText xml:space="preserve"> REF _Ref157866360 \h </w:instrText>
      </w:r>
      <w:r w:rsidR="002D7830">
        <w:fldChar w:fldCharType="separate"/>
      </w:r>
      <w:r w:rsidR="00F37ECF">
        <w:t xml:space="preserve">Figure </w:t>
      </w:r>
      <w:r w:rsidR="00F37ECF">
        <w:rPr>
          <w:noProof/>
        </w:rPr>
        <w:t>1</w:t>
      </w:r>
      <w:r w:rsidR="002D7830">
        <w:fldChar w:fldCharType="end"/>
      </w:r>
      <w:r w:rsidR="002D7830">
        <w:t xml:space="preserve"> have the potential to be used together to construct</w:t>
      </w:r>
      <w:r w:rsidR="00F119DD">
        <w:t xml:space="preserve"> and explore</w:t>
      </w:r>
      <w:r w:rsidR="002D7830">
        <w:t xml:space="preserve"> use cases </w:t>
      </w:r>
      <w:r w:rsidR="00F119DD">
        <w:t>upon which to base and evaluate potential offshore grid designs. These use cases could integrate both the power systems modeling tools developed within this project and the recommended procurement and development strategies posited below.</w:t>
      </w:r>
    </w:p>
    <w:p w14:paraId="60626FE2" w14:textId="77777777" w:rsidR="00D90E08" w:rsidRDefault="00D90E08" w:rsidP="008B594C">
      <w:pPr>
        <w:pStyle w:val="BodyText"/>
      </w:pPr>
    </w:p>
    <w:p w14:paraId="16F6B58D" w14:textId="77777777" w:rsidR="00D90E08" w:rsidRDefault="00D90E08" w:rsidP="008B594C">
      <w:pPr>
        <w:pStyle w:val="BodyText"/>
      </w:pPr>
    </w:p>
    <w:p w14:paraId="56F7AF71" w14:textId="34354315" w:rsidR="008B594C" w:rsidRDefault="008B594C" w:rsidP="008B594C">
      <w:pPr>
        <w:pStyle w:val="Caption"/>
        <w:jc w:val="center"/>
      </w:pPr>
      <w:bookmarkStart w:id="105" w:name="_Ref157252438"/>
      <w:bookmarkStart w:id="106" w:name="_Toc158376239"/>
      <w:r>
        <w:lastRenderedPageBreak/>
        <w:t xml:space="preserve">Figure </w:t>
      </w:r>
      <w:r>
        <w:fldChar w:fldCharType="begin"/>
      </w:r>
      <w:r>
        <w:instrText xml:space="preserve"> SEQ Figure \* ARABIC </w:instrText>
      </w:r>
      <w:r>
        <w:fldChar w:fldCharType="separate"/>
      </w:r>
      <w:r w:rsidR="00F37ECF">
        <w:rPr>
          <w:noProof/>
        </w:rPr>
        <w:t>8</w:t>
      </w:r>
      <w:r>
        <w:rPr>
          <w:noProof/>
        </w:rPr>
        <w:fldChar w:fldCharType="end"/>
      </w:r>
      <w:bookmarkEnd w:id="105"/>
      <w:r>
        <w:t>. Step 1: Multi-Project Connections.</w:t>
      </w:r>
      <w:bookmarkEnd w:id="106"/>
    </w:p>
    <w:p w14:paraId="459D28AB" w14:textId="33957CFB" w:rsidR="008B594C" w:rsidRDefault="008B594C" w:rsidP="008B594C">
      <w:pPr>
        <w:pStyle w:val="BodyText"/>
        <w:jc w:val="center"/>
      </w:pPr>
      <w:r>
        <w:rPr>
          <w:noProof/>
        </w:rPr>
        <w:drawing>
          <wp:inline distT="0" distB="0" distL="0" distR="0" wp14:anchorId="08E88559" wp14:editId="72FBFC11">
            <wp:extent cx="4343400" cy="2194560"/>
            <wp:effectExtent l="0" t="0" r="0" b="0"/>
            <wp:docPr id="1710325480" name="Picture 2" descr="A map of the se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0325480" name="Picture 2" descr="A map of the sea&#10;&#10;Description automatically generated"/>
                    <pic:cNvPicPr/>
                  </pic:nvPicPr>
                  <pic:blipFill rotWithShape="1">
                    <a:blip r:embed="rId31" cstate="print">
                      <a:extLst>
                        <a:ext uri="{28A0092B-C50C-407E-A947-70E740481C1C}">
                          <a14:useLocalDpi xmlns:a14="http://schemas.microsoft.com/office/drawing/2010/main" val="0"/>
                        </a:ext>
                      </a:extLst>
                    </a:blip>
                    <a:srcRect b="10099"/>
                    <a:stretch/>
                  </pic:blipFill>
                  <pic:spPr bwMode="auto">
                    <a:xfrm>
                      <a:off x="0" y="0"/>
                      <a:ext cx="4343400" cy="2194560"/>
                    </a:xfrm>
                    <a:prstGeom prst="rect">
                      <a:avLst/>
                    </a:prstGeom>
                    <a:ln>
                      <a:noFill/>
                    </a:ln>
                    <a:extLst>
                      <a:ext uri="{53640926-AAD7-44D8-BBD7-CCE9431645EC}">
                        <a14:shadowObscured xmlns:a14="http://schemas.microsoft.com/office/drawing/2010/main"/>
                      </a:ext>
                    </a:extLst>
                  </pic:spPr>
                </pic:pic>
              </a:graphicData>
            </a:graphic>
          </wp:inline>
        </w:drawing>
      </w:r>
    </w:p>
    <w:p w14:paraId="665DB653" w14:textId="76BAEE90" w:rsidR="008B594C" w:rsidRDefault="008B594C" w:rsidP="008B594C">
      <w:pPr>
        <w:pStyle w:val="Caption"/>
        <w:jc w:val="center"/>
      </w:pPr>
      <w:bookmarkStart w:id="107" w:name="_Ref157252444"/>
      <w:bookmarkStart w:id="108" w:name="_Toc158376240"/>
      <w:r>
        <w:t xml:space="preserve">Figure </w:t>
      </w:r>
      <w:r>
        <w:fldChar w:fldCharType="begin"/>
      </w:r>
      <w:r>
        <w:instrText xml:space="preserve"> SEQ Figure \* ARABIC </w:instrText>
      </w:r>
      <w:r>
        <w:fldChar w:fldCharType="separate"/>
      </w:r>
      <w:r w:rsidR="00F37ECF">
        <w:rPr>
          <w:noProof/>
        </w:rPr>
        <w:t>9</w:t>
      </w:r>
      <w:r>
        <w:rPr>
          <w:noProof/>
        </w:rPr>
        <w:fldChar w:fldCharType="end"/>
      </w:r>
      <w:bookmarkEnd w:id="107"/>
      <w:r>
        <w:t>. Step 2: Regional Connections.</w:t>
      </w:r>
      <w:bookmarkEnd w:id="108"/>
    </w:p>
    <w:p w14:paraId="5094440E" w14:textId="1E3BC2DE" w:rsidR="008B594C" w:rsidRDefault="008B594C" w:rsidP="008B594C">
      <w:pPr>
        <w:pStyle w:val="BodyText"/>
        <w:jc w:val="center"/>
      </w:pPr>
      <w:r>
        <w:rPr>
          <w:noProof/>
        </w:rPr>
        <w:drawing>
          <wp:inline distT="0" distB="0" distL="0" distR="0" wp14:anchorId="75AF7B30" wp14:editId="3453193D">
            <wp:extent cx="4343400" cy="2203704"/>
            <wp:effectExtent l="0" t="0" r="0" b="6350"/>
            <wp:docPr id="134959000" name="Picture 3" descr="A map of the se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959000" name="Picture 3" descr="A map of the sea&#10;&#10;Description automatically generated"/>
                    <pic:cNvPicPr/>
                  </pic:nvPicPr>
                  <pic:blipFill rotWithShape="1">
                    <a:blip r:embed="rId32" cstate="print">
                      <a:extLst>
                        <a:ext uri="{28A0092B-C50C-407E-A947-70E740481C1C}">
                          <a14:useLocalDpi xmlns:a14="http://schemas.microsoft.com/office/drawing/2010/main" val="0"/>
                        </a:ext>
                      </a:extLst>
                    </a:blip>
                    <a:srcRect b="9868"/>
                    <a:stretch/>
                  </pic:blipFill>
                  <pic:spPr bwMode="auto">
                    <a:xfrm>
                      <a:off x="0" y="0"/>
                      <a:ext cx="4343400" cy="2203704"/>
                    </a:xfrm>
                    <a:prstGeom prst="rect">
                      <a:avLst/>
                    </a:prstGeom>
                    <a:ln>
                      <a:noFill/>
                    </a:ln>
                    <a:extLst>
                      <a:ext uri="{53640926-AAD7-44D8-BBD7-CCE9431645EC}">
                        <a14:shadowObscured xmlns:a14="http://schemas.microsoft.com/office/drawing/2010/main"/>
                      </a:ext>
                    </a:extLst>
                  </pic:spPr>
                </pic:pic>
              </a:graphicData>
            </a:graphic>
          </wp:inline>
        </w:drawing>
      </w:r>
    </w:p>
    <w:p w14:paraId="013AAC42" w14:textId="464B5EEA" w:rsidR="008B594C" w:rsidRDefault="008B594C" w:rsidP="008B594C">
      <w:pPr>
        <w:pStyle w:val="Caption"/>
        <w:jc w:val="center"/>
      </w:pPr>
      <w:bookmarkStart w:id="109" w:name="_Ref157252446"/>
      <w:bookmarkStart w:id="110" w:name="_Toc158376241"/>
      <w:r>
        <w:t xml:space="preserve">Figure </w:t>
      </w:r>
      <w:r>
        <w:fldChar w:fldCharType="begin"/>
      </w:r>
      <w:r>
        <w:instrText xml:space="preserve"> SEQ Figure \* ARABIC </w:instrText>
      </w:r>
      <w:r>
        <w:fldChar w:fldCharType="separate"/>
      </w:r>
      <w:r w:rsidR="00F37ECF">
        <w:rPr>
          <w:noProof/>
        </w:rPr>
        <w:t>10</w:t>
      </w:r>
      <w:r>
        <w:rPr>
          <w:noProof/>
        </w:rPr>
        <w:fldChar w:fldCharType="end"/>
      </w:r>
      <w:bookmarkEnd w:id="109"/>
      <w:r>
        <w:t>. Step 3. Interregional Connections.</w:t>
      </w:r>
      <w:bookmarkEnd w:id="110"/>
    </w:p>
    <w:p w14:paraId="75A57222" w14:textId="339FE489" w:rsidR="008B594C" w:rsidRPr="008B594C" w:rsidRDefault="008B594C" w:rsidP="008B594C">
      <w:pPr>
        <w:pStyle w:val="BodyText"/>
        <w:jc w:val="center"/>
      </w:pPr>
      <w:r>
        <w:rPr>
          <w:noProof/>
        </w:rPr>
        <w:drawing>
          <wp:inline distT="0" distB="0" distL="0" distR="0" wp14:anchorId="180F3589" wp14:editId="6D2B61C8">
            <wp:extent cx="4343400" cy="2212848"/>
            <wp:effectExtent l="0" t="0" r="0" b="0"/>
            <wp:docPr id="430417626" name="Picture 4" descr="A map of the coa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417626" name="Picture 4" descr="A map of the coast&#10;&#10;Description automatically generated"/>
                    <pic:cNvPicPr/>
                  </pic:nvPicPr>
                  <pic:blipFill rotWithShape="1">
                    <a:blip r:embed="rId33" cstate="print">
                      <a:extLst>
                        <a:ext uri="{28A0092B-C50C-407E-A947-70E740481C1C}">
                          <a14:useLocalDpi xmlns:a14="http://schemas.microsoft.com/office/drawing/2010/main" val="0"/>
                        </a:ext>
                      </a:extLst>
                    </a:blip>
                    <a:srcRect b="9406"/>
                    <a:stretch/>
                  </pic:blipFill>
                  <pic:spPr bwMode="auto">
                    <a:xfrm>
                      <a:off x="0" y="0"/>
                      <a:ext cx="4343400" cy="2212848"/>
                    </a:xfrm>
                    <a:prstGeom prst="rect">
                      <a:avLst/>
                    </a:prstGeom>
                    <a:ln>
                      <a:noFill/>
                    </a:ln>
                    <a:extLst>
                      <a:ext uri="{53640926-AAD7-44D8-BBD7-CCE9431645EC}">
                        <a14:shadowObscured xmlns:a14="http://schemas.microsoft.com/office/drawing/2010/main"/>
                      </a:ext>
                    </a:extLst>
                  </pic:spPr>
                </pic:pic>
              </a:graphicData>
            </a:graphic>
          </wp:inline>
        </w:drawing>
      </w:r>
    </w:p>
    <w:p w14:paraId="324BDEB9" w14:textId="64CD505D" w:rsidR="00346F63" w:rsidRDefault="00346F63" w:rsidP="00346F63">
      <w:pPr>
        <w:pStyle w:val="BodyText"/>
      </w:pPr>
      <w:r>
        <w:lastRenderedPageBreak/>
        <w:t xml:space="preserve">The DRAFT Recommended procurement process for offshore wind transmission shown in </w:t>
      </w:r>
      <w:r>
        <w:fldChar w:fldCharType="begin"/>
      </w:r>
      <w:r>
        <w:instrText xml:space="preserve"> REF _Ref157252438 \h </w:instrText>
      </w:r>
      <w:r>
        <w:fldChar w:fldCharType="separate"/>
      </w:r>
      <w:r w:rsidR="00F37ECF">
        <w:t xml:space="preserve">Figure </w:t>
      </w:r>
      <w:r w:rsidR="00F37ECF">
        <w:rPr>
          <w:noProof/>
        </w:rPr>
        <w:t>8</w:t>
      </w:r>
      <w:r>
        <w:fldChar w:fldCharType="end"/>
      </w:r>
      <w:r>
        <w:t xml:space="preserve">, </w:t>
      </w:r>
      <w:r>
        <w:fldChar w:fldCharType="begin"/>
      </w:r>
      <w:r>
        <w:instrText xml:space="preserve"> REF _Ref157252444 \h </w:instrText>
      </w:r>
      <w:r>
        <w:fldChar w:fldCharType="separate"/>
      </w:r>
      <w:r w:rsidR="00F37ECF">
        <w:t xml:space="preserve">Figure </w:t>
      </w:r>
      <w:r w:rsidR="00F37ECF">
        <w:rPr>
          <w:noProof/>
        </w:rPr>
        <w:t>9</w:t>
      </w:r>
      <w:r>
        <w:fldChar w:fldCharType="end"/>
      </w:r>
      <w:r>
        <w:t xml:space="preserve">, and </w:t>
      </w:r>
      <w:r>
        <w:fldChar w:fldCharType="begin"/>
      </w:r>
      <w:r>
        <w:instrText xml:space="preserve"> REF _Ref157252446 \h </w:instrText>
      </w:r>
      <w:r>
        <w:fldChar w:fldCharType="separate"/>
      </w:r>
      <w:r w:rsidR="00F37ECF">
        <w:t xml:space="preserve">Figure </w:t>
      </w:r>
      <w:r w:rsidR="00F37ECF">
        <w:rPr>
          <w:noProof/>
        </w:rPr>
        <w:t>10</w:t>
      </w:r>
      <w:r>
        <w:fldChar w:fldCharType="end"/>
      </w:r>
      <w:r>
        <w:t xml:space="preserve"> on the preceding page outlines three specific aspects of offshore wind transmission. </w:t>
      </w:r>
    </w:p>
    <w:p w14:paraId="6774DC51" w14:textId="4F803FBC" w:rsidR="00346F63" w:rsidRDefault="0096067E" w:rsidP="00A343DE">
      <w:pPr>
        <w:pStyle w:val="Heading3"/>
        <w:numPr>
          <w:ilvl w:val="2"/>
          <w:numId w:val="46"/>
        </w:numPr>
        <w:ind w:left="0"/>
      </w:pPr>
      <w:bookmarkStart w:id="111" w:name="_Toc158376375"/>
      <w:r>
        <w:t>Step 1: Multi-Project Connections</w:t>
      </w:r>
      <w:r w:rsidR="00A343DE">
        <w:t xml:space="preserve"> (</w:t>
      </w:r>
      <w:r w:rsidR="00A343DE">
        <w:fldChar w:fldCharType="begin"/>
      </w:r>
      <w:r w:rsidR="00A343DE">
        <w:instrText xml:space="preserve"> REF _Ref157252438 \h </w:instrText>
      </w:r>
      <w:r w:rsidR="00A343DE">
        <w:fldChar w:fldCharType="separate"/>
      </w:r>
      <w:r w:rsidR="00F37ECF">
        <w:t xml:space="preserve">Figure </w:t>
      </w:r>
      <w:r w:rsidR="00F37ECF">
        <w:rPr>
          <w:noProof/>
        </w:rPr>
        <w:t>8</w:t>
      </w:r>
      <w:r w:rsidR="00A343DE">
        <w:fldChar w:fldCharType="end"/>
      </w:r>
      <w:r w:rsidR="00A343DE">
        <w:t>)</w:t>
      </w:r>
      <w:bookmarkEnd w:id="111"/>
    </w:p>
    <w:p w14:paraId="12F1655A" w14:textId="68B7FD79" w:rsidR="00346F63" w:rsidRDefault="00346F63" w:rsidP="00346F63">
      <w:pPr>
        <w:pStyle w:val="BodyText"/>
      </w:pPr>
      <w:r>
        <w:t xml:space="preserve">The </w:t>
      </w:r>
      <w:r w:rsidR="00A343DE">
        <w:t>B</w:t>
      </w:r>
      <w:r>
        <w:t>eachhead</w:t>
      </w:r>
      <w:r w:rsidR="00A343DE">
        <w:t>s</w:t>
      </w:r>
      <w:r w:rsidR="00937348">
        <w:t>, shown schematically as a yellow circle</w:t>
      </w:r>
      <w:r w:rsidR="00C02EA1">
        <w:t>s</w:t>
      </w:r>
      <w:r w:rsidR="00937348">
        <w:t xml:space="preserve"> with black outline</w:t>
      </w:r>
      <w:r w:rsidR="00C02EA1">
        <w:t>s</w:t>
      </w:r>
      <w:r w:rsidR="00937348">
        <w:t>,</w:t>
      </w:r>
      <w:r>
        <w:t xml:space="preserve"> </w:t>
      </w:r>
      <w:r w:rsidR="00C02EA1">
        <w:t>are</w:t>
      </w:r>
      <w:r>
        <w:t xml:space="preserve"> landing</w:t>
      </w:r>
      <w:r w:rsidR="00C02EA1">
        <w:t>s</w:t>
      </w:r>
      <w:r>
        <w:t xml:space="preserve"> at shore or within state waters that marks the transition point between offshore HVDC transmission and connection to the onshore grid. Our understanding from conversations with multiple utilities and developers is that there seems to be fairly strong consensus around the idea that land-based upgrades should be separated from offshore generation and transmission procurements. From the beachhead, entities in charge of land-based upgrades would develop reach circuits, as described in Deliverable D2.3, to relevant POIs which would be upgraded along with relevant onshore grid assets both to convert DC to AC power and to increase the headroom well beyond establishes SSCLs in 2-GW increments according to the TenneT 2-GW standard.</w:t>
      </w:r>
      <w:r w:rsidR="00937348">
        <w:t xml:space="preserve"> The development of a beachhead and the separation of land-based upgrades from offshore wind generation and transmission is exemplified by the New Jersey State Agreement Approach (NJ-SAA</w:t>
      </w:r>
      <w:r w:rsidR="00A32925">
        <w:t>) (Pfeiffenberger at al.</w:t>
      </w:r>
      <w:r w:rsidR="00937348">
        <w:t>, 202</w:t>
      </w:r>
      <w:r w:rsidR="00A66903">
        <w:t>2</w:t>
      </w:r>
      <w:r w:rsidR="00937348">
        <w:t>).</w:t>
      </w:r>
      <w:r w:rsidR="00C02EA1">
        <w:t xml:space="preserve"> It is also </w:t>
      </w:r>
      <w:r w:rsidR="0055236A">
        <w:t>contemplated</w:t>
      </w:r>
      <w:r w:rsidR="00C02EA1">
        <w:t xml:space="preserve"> by the Massachusetts Clean Energy Transmission Working Group (CETWG) final report (MA, 2023).</w:t>
      </w:r>
    </w:p>
    <w:p w14:paraId="69A5C977" w14:textId="0EFF71A0" w:rsidR="00A343DE" w:rsidRDefault="00A343DE" w:rsidP="00346F63">
      <w:pPr>
        <w:pStyle w:val="BodyText"/>
      </w:pPr>
      <w:r>
        <w:t>The Collectors/Energy Islands, shown</w:t>
      </w:r>
      <w:r w:rsidR="00C02EA1">
        <w:t xml:space="preserve"> schematically as blue circles with black outlines, are offshore converter stations that collect power from multiple OSW projects, and bundle them together in 2-GW increments to send the beachheads via HVDC lines. In our opinion, offshore wind developers should be required only to connect their transmission into these independent Energy Islands, which are in-turn designed to connect to land and to one another in a Multi-Terminal HVDC System that is modular and expandable. Objections to this approach have cited “project-on-project risk,” however, as general understanding of OSW generation project timeline has become more clear to a larger number of stakeholders, it should also be clear that there are several years available to plan and construct these facilities as part of state OSW procurements.</w:t>
      </w:r>
      <w:r w:rsidR="00457958">
        <w:t xml:space="preserve"> Northern European countries such as Denmark are already planning energy islands in the North Sea. Please refer to Harris et al. (2023) for the keynote presentation by a representative from the Danish TSO, Energienet, at the June 2023 Transmission Workshop at Tufts University.</w:t>
      </w:r>
    </w:p>
    <w:p w14:paraId="724A4F13" w14:textId="376C7FA5" w:rsidR="00A343DE" w:rsidRDefault="00A343DE" w:rsidP="00A343DE">
      <w:pPr>
        <w:pStyle w:val="Heading3"/>
      </w:pPr>
      <w:bookmarkStart w:id="112" w:name="_Toc158376376"/>
      <w:r>
        <w:lastRenderedPageBreak/>
        <w:t xml:space="preserve">Step </w:t>
      </w:r>
      <w:r w:rsidR="00457958">
        <w:t>2: Regional Connections (</w:t>
      </w:r>
      <w:r w:rsidR="00457958">
        <w:fldChar w:fldCharType="begin"/>
      </w:r>
      <w:r w:rsidR="00457958">
        <w:instrText xml:space="preserve"> REF _Ref157252444 \h </w:instrText>
      </w:r>
      <w:r w:rsidR="00457958">
        <w:fldChar w:fldCharType="separate"/>
      </w:r>
      <w:r w:rsidR="00F37ECF">
        <w:t xml:space="preserve">Figure </w:t>
      </w:r>
      <w:r w:rsidR="00F37ECF">
        <w:rPr>
          <w:noProof/>
        </w:rPr>
        <w:t>9</w:t>
      </w:r>
      <w:r w:rsidR="00457958">
        <w:fldChar w:fldCharType="end"/>
      </w:r>
      <w:r w:rsidR="00457958">
        <w:t>)</w:t>
      </w:r>
      <w:bookmarkEnd w:id="112"/>
    </w:p>
    <w:p w14:paraId="7E9B1397" w14:textId="74E28233" w:rsidR="00B734D1" w:rsidRDefault="00B734D1" w:rsidP="00B734D1">
      <w:pPr>
        <w:pStyle w:val="BodyText"/>
      </w:pPr>
      <w:r>
        <w:t>Once the beachheads and energy islands have been established, the energy islands may be connected to one another when a region decides it is appropriate to increase the reliability of the growing offshore grid. Up to this point in the process, federal involvement can focus primarily on setting technical standards for the MT-HVDC system and providing funding and tax-credits for the early build-out.</w:t>
      </w:r>
    </w:p>
    <w:p w14:paraId="00ACF3DB" w14:textId="5F7D4F88" w:rsidR="00B734D1" w:rsidRDefault="00B734D1" w:rsidP="00B734D1">
      <w:pPr>
        <w:pStyle w:val="Heading3"/>
      </w:pPr>
      <w:bookmarkStart w:id="113" w:name="_Toc158376377"/>
      <w:r>
        <w:t>Step 3: Interregional Connections (</w:t>
      </w:r>
      <w:r>
        <w:fldChar w:fldCharType="begin"/>
      </w:r>
      <w:r>
        <w:instrText xml:space="preserve"> REF _Ref157252446 \h </w:instrText>
      </w:r>
      <w:r>
        <w:fldChar w:fldCharType="separate"/>
      </w:r>
      <w:r w:rsidR="00F37ECF">
        <w:t xml:space="preserve">Figure </w:t>
      </w:r>
      <w:r w:rsidR="00F37ECF">
        <w:rPr>
          <w:noProof/>
        </w:rPr>
        <w:t>10</w:t>
      </w:r>
      <w:r>
        <w:fldChar w:fldCharType="end"/>
      </w:r>
      <w:r>
        <w:t>)</w:t>
      </w:r>
      <w:bookmarkEnd w:id="113"/>
    </w:p>
    <w:p w14:paraId="75CC3A55" w14:textId="09A72E53" w:rsidR="00B734D1" w:rsidRPr="00B734D1" w:rsidRDefault="00B734D1" w:rsidP="00B734D1">
      <w:pPr>
        <w:pStyle w:val="BodyText"/>
      </w:pPr>
      <w:r>
        <w:t xml:space="preserve">At this step, regionally connected offshore systems may be connected inter-regionally, as shown in </w:t>
      </w:r>
      <w:r>
        <w:fldChar w:fldCharType="begin"/>
      </w:r>
      <w:r>
        <w:instrText xml:space="preserve"> REF _Ref157252446 \h </w:instrText>
      </w:r>
      <w:r>
        <w:fldChar w:fldCharType="separate"/>
      </w:r>
      <w:r w:rsidR="00F37ECF">
        <w:t xml:space="preserve">Figure </w:t>
      </w:r>
      <w:r w:rsidR="00F37ECF">
        <w:rPr>
          <w:noProof/>
        </w:rPr>
        <w:t>10</w:t>
      </w:r>
      <w:r>
        <w:fldChar w:fldCharType="end"/>
      </w:r>
      <w:r w:rsidR="00EA03DD">
        <w:t xml:space="preserve"> for a connection between the New England and New York/New Jersey regions</w:t>
      </w:r>
      <w:r>
        <w:t>.</w:t>
      </w:r>
      <w:r w:rsidR="00EA03DD">
        <w:rPr>
          <w:rStyle w:val="FootnoteReference"/>
        </w:rPr>
        <w:footnoteReference w:id="2"/>
      </w:r>
      <w:r>
        <w:t xml:space="preserve"> This will require action by and authority of the U.S. federal government both to plan, build, and operate these connections. </w:t>
      </w:r>
      <w:r w:rsidR="00866F00">
        <w:t xml:space="preserve">From </w:t>
      </w:r>
      <w:r w:rsidR="009A27F2">
        <w:t>the near-term perspective</w:t>
      </w:r>
      <w:r w:rsidR="00866F00">
        <w:t>, t</w:t>
      </w:r>
      <w:r>
        <w:t xml:space="preserve">hese connections will not likely be necessary until the Atlantic offshore wind build-out reaches levels in excess of </w:t>
      </w:r>
      <w:r w:rsidR="009A27F2">
        <w:t>3</w:t>
      </w:r>
      <w:r>
        <w:t xml:space="preserve">0 GW, providing time for appropriate authorization and regulatory frameworks to be developed through a whole-of-government approach. </w:t>
      </w:r>
      <w:r w:rsidR="00866F00">
        <w:t>Nevertheless</w:t>
      </w:r>
      <w:r w:rsidR="009A27F2">
        <w:t>,</w:t>
      </w:r>
      <w:r w:rsidR="00866F00">
        <w:t xml:space="preserve"> according to </w:t>
      </w:r>
      <w:r w:rsidR="009A27F2">
        <w:t xml:space="preserve">members of this project’s advisory board, </w:t>
      </w:r>
      <w:r w:rsidR="00866F00">
        <w:t xml:space="preserve">even within the next few years there will be more power on existing rights of way than </w:t>
      </w:r>
      <w:r w:rsidR="009A27F2">
        <w:t xml:space="preserve">ever before. Considering the risk of a large source loss from an extreme event, regional interties will become more important within a few years, and the possibility of building such ties offshore should be seriously considered in the near term. </w:t>
      </w:r>
      <w:r>
        <w:t>These interregional connections, combined with the success of creating high capacity (6+ GW) MT-HVDC beachheads and energy islands will allow the Atlantic offshore wind build-out to reach scales on the order of 200+ GW, as contemplated within this project</w:t>
      </w:r>
      <w:r w:rsidR="00AC1098">
        <w:t>. We see this Atlantic OSW transmission build-out as the first leg of the North American macrogrid, which will be required to economically and reliably deliver the U.S. energy transition.</w:t>
      </w:r>
    </w:p>
    <w:p w14:paraId="5DE53829" w14:textId="77777777" w:rsidR="00457958" w:rsidRDefault="00457958" w:rsidP="00457958">
      <w:pPr>
        <w:pStyle w:val="BodyText"/>
      </w:pPr>
    </w:p>
    <w:p w14:paraId="7BE3FEA1" w14:textId="77777777" w:rsidR="000F1250" w:rsidRPr="00457958" w:rsidRDefault="000F1250" w:rsidP="00457958">
      <w:pPr>
        <w:pStyle w:val="BodyText"/>
      </w:pPr>
    </w:p>
    <w:p w14:paraId="014D6326" w14:textId="77777777" w:rsidR="001957C6" w:rsidRPr="00DA2BA1" w:rsidRDefault="001957C6" w:rsidP="00DA2BA1">
      <w:pPr>
        <w:pStyle w:val="BodyText"/>
      </w:pPr>
    </w:p>
    <w:p w14:paraId="5337D1BC" w14:textId="2E6DF73E" w:rsidR="005E3686" w:rsidRDefault="006765AA" w:rsidP="0075391F">
      <w:pPr>
        <w:pStyle w:val="Heading1"/>
      </w:pPr>
      <w:bookmarkStart w:id="114" w:name="_Toc158376378"/>
      <w:r>
        <w:lastRenderedPageBreak/>
        <w:t xml:space="preserve">Project </w:t>
      </w:r>
      <w:r w:rsidR="00854F2A">
        <w:t>Bibliography</w:t>
      </w:r>
      <w:r>
        <w:t xml:space="preserve"> and Report References</w:t>
      </w:r>
      <w:bookmarkEnd w:id="114"/>
    </w:p>
    <w:p w14:paraId="12C92AF5" w14:textId="0ACF83C2" w:rsidR="00266502" w:rsidRDefault="00266502" w:rsidP="003E3F92">
      <w:pPr>
        <w:ind w:left="360" w:hanging="360"/>
        <w:rPr>
          <w:rFonts w:ascii="Times New Roman" w:hAnsi="Times New Roman" w:cs="Times New Roman"/>
        </w:rPr>
      </w:pPr>
      <w:r>
        <w:rPr>
          <w:rFonts w:ascii="Times New Roman" w:hAnsi="Times New Roman" w:cs="Times New Roman"/>
        </w:rPr>
        <w:t xml:space="preserve">DOE/DOI. 2023. An Action Plan for Offshore Wind Transmission Development in the U.S Atlantic Region. U.S. Department of Energy and the Bureau of Ocean Energy Management. Interim Draft. September. </w:t>
      </w:r>
      <w:r w:rsidRPr="00266502">
        <w:rPr>
          <w:rFonts w:ascii="Times New Roman" w:hAnsi="Times New Roman" w:cs="Times New Roman"/>
        </w:rPr>
        <w:t>https://www.energy.gov/sites/default/files/2023-10/Atlantic-Offshore-Wind-Transmission-Plan-Report_October-2023.pdf</w:t>
      </w:r>
      <w:r>
        <w:rPr>
          <w:rFonts w:ascii="Times New Roman" w:hAnsi="Times New Roman" w:cs="Times New Roman"/>
        </w:rPr>
        <w:t>. Accessed on January 27, 2024.</w:t>
      </w:r>
    </w:p>
    <w:p w14:paraId="248CFB77" w14:textId="30283D6C" w:rsidR="00E73C67" w:rsidRDefault="00E73C67" w:rsidP="003E3F92">
      <w:pPr>
        <w:ind w:left="360" w:hanging="360"/>
        <w:rPr>
          <w:rFonts w:ascii="Times New Roman" w:hAnsi="Times New Roman" w:cs="Times New Roman"/>
        </w:rPr>
      </w:pPr>
      <w:r>
        <w:rPr>
          <w:rFonts w:ascii="Times New Roman" w:hAnsi="Times New Roman" w:cs="Times New Roman"/>
        </w:rPr>
        <w:t xml:space="preserve">Enslin, Johan and Moazzam Nazir. 2022. Transmission Expansion Planning Models for Offshore Wind Energy: Task Report for Task 4.2. </w:t>
      </w:r>
      <w:r w:rsidRPr="00E73C67">
        <w:rPr>
          <w:rFonts w:ascii="Times New Roman" w:hAnsi="Times New Roman" w:cs="Times New Roman"/>
          <w:u w:val="single"/>
        </w:rPr>
        <w:t>Deliverable D4.2.</w:t>
      </w:r>
      <w:r>
        <w:rPr>
          <w:rFonts w:ascii="Times New Roman" w:hAnsi="Times New Roman" w:cs="Times New Roman"/>
        </w:rPr>
        <w:t xml:space="preserve"> NOWRDC-TEP. September 2022. 20 pp.</w:t>
      </w:r>
    </w:p>
    <w:p w14:paraId="6C1A35B8" w14:textId="4E84BED9" w:rsidR="00E73C67" w:rsidRDefault="00E73C67" w:rsidP="00E73C67">
      <w:pPr>
        <w:ind w:left="360" w:hanging="360"/>
        <w:rPr>
          <w:rFonts w:ascii="Times New Roman" w:hAnsi="Times New Roman" w:cs="Times New Roman"/>
        </w:rPr>
      </w:pPr>
      <w:r>
        <w:rPr>
          <w:rFonts w:ascii="Times New Roman" w:hAnsi="Times New Roman" w:cs="Times New Roman"/>
        </w:rPr>
        <w:t xml:space="preserve">Enslin, Johan and Moazzam Nazir. 2023. Transmission Expansion Planning Models for Offshore Wind Energy: Task Report for Task 4.3. </w:t>
      </w:r>
      <w:r w:rsidRPr="00E73C67">
        <w:rPr>
          <w:rFonts w:ascii="Times New Roman" w:hAnsi="Times New Roman" w:cs="Times New Roman"/>
          <w:u w:val="single"/>
        </w:rPr>
        <w:t>Deliverable D4.3.</w:t>
      </w:r>
      <w:r>
        <w:rPr>
          <w:rFonts w:ascii="Times New Roman" w:hAnsi="Times New Roman" w:cs="Times New Roman"/>
        </w:rPr>
        <w:t xml:space="preserve"> NOWRDC-TEP. September 2023. 25 pp.</w:t>
      </w:r>
    </w:p>
    <w:p w14:paraId="0C1EA4DD" w14:textId="19548F68" w:rsidR="004F4072" w:rsidRPr="00B161E3" w:rsidRDefault="004F4072" w:rsidP="00E73C67">
      <w:pPr>
        <w:ind w:left="360" w:hanging="360"/>
        <w:rPr>
          <w:rFonts w:ascii="Times New Roman" w:hAnsi="Times New Roman" w:cs="Times New Roman"/>
        </w:rPr>
      </w:pPr>
      <w:r w:rsidRPr="00B161E3">
        <w:rPr>
          <w:rFonts w:ascii="Times New Roman" w:hAnsi="Times New Roman" w:cs="Times New Roman"/>
        </w:rPr>
        <w:t xml:space="preserve">FERC. 2004. 109 FERC P 61702 (F.E.R.C.), 2004 WL 2398438. Xcel Energy Operating Companies. Docket Nos. </w:t>
      </w:r>
      <w:r w:rsidRPr="00B161E3">
        <w:rPr>
          <w:rFonts w:ascii="Times New Roman" w:hAnsi="Times New Roman" w:cs="Times New Roman"/>
        </w:rPr>
        <w:t>ER04-419-001, ER04-419-002, ER04-419-003, ER04-419-004, ER04-419-005</w:t>
      </w:r>
      <w:r w:rsidRPr="00B161E3">
        <w:rPr>
          <w:rFonts w:ascii="Times New Roman" w:hAnsi="Times New Roman" w:cs="Times New Roman"/>
        </w:rPr>
        <w:t>. Issued October 26, 2004.</w:t>
      </w:r>
      <w:r w:rsidR="00ED4F76" w:rsidRPr="00B161E3">
        <w:rPr>
          <w:rFonts w:ascii="Times New Roman" w:hAnsi="Times New Roman" w:cs="Times New Roman"/>
        </w:rPr>
        <w:t xml:space="preserve"> </w:t>
      </w:r>
      <w:r w:rsidR="00ED4F76" w:rsidRPr="00B161E3">
        <w:rPr>
          <w:rFonts w:ascii="Times New Roman" w:hAnsi="Times New Roman" w:cs="Times New Roman"/>
        </w:rPr>
        <w:t>https://elibrary.ferc.gov/eLibrary/docinfo?accession_number=20041026-4024</w:t>
      </w:r>
      <w:r w:rsidR="00ED4F76" w:rsidRPr="00B161E3">
        <w:rPr>
          <w:rFonts w:ascii="Times New Roman" w:hAnsi="Times New Roman" w:cs="Times New Roman"/>
        </w:rPr>
        <w:t>. Accessed on February 15, 2024.</w:t>
      </w:r>
    </w:p>
    <w:p w14:paraId="20DFEABE" w14:textId="2F5F0BDB" w:rsidR="00890C89" w:rsidRDefault="00890C89" w:rsidP="00E73C67">
      <w:pPr>
        <w:ind w:left="360" w:hanging="360"/>
        <w:rPr>
          <w:rFonts w:ascii="Times New Roman" w:hAnsi="Times New Roman" w:cs="Times New Roman"/>
        </w:rPr>
      </w:pPr>
      <w:r>
        <w:rPr>
          <w:rFonts w:ascii="Times New Roman" w:hAnsi="Times New Roman" w:cs="Times New Roman"/>
        </w:rPr>
        <w:t xml:space="preserve">FERC. 2023. Improvements to Generator Interconnection Procedures and Agreements. </w:t>
      </w:r>
      <w:r w:rsidR="00CD7822">
        <w:rPr>
          <w:rFonts w:ascii="Times New Roman" w:hAnsi="Times New Roman" w:cs="Times New Roman"/>
        </w:rPr>
        <w:t>Federal Energy Regulatory Commis</w:t>
      </w:r>
      <w:r w:rsidR="009E4D7D">
        <w:rPr>
          <w:rFonts w:ascii="Times New Roman" w:hAnsi="Times New Roman" w:cs="Times New Roman"/>
        </w:rPr>
        <w:t>s</w:t>
      </w:r>
      <w:r w:rsidR="00CD7822">
        <w:rPr>
          <w:rFonts w:ascii="Times New Roman" w:hAnsi="Times New Roman" w:cs="Times New Roman"/>
        </w:rPr>
        <w:t xml:space="preserve">ion. </w:t>
      </w:r>
      <w:r>
        <w:rPr>
          <w:rFonts w:ascii="Times New Roman" w:hAnsi="Times New Roman" w:cs="Times New Roman"/>
        </w:rPr>
        <w:t xml:space="preserve">Docket No. RM22-14-000. Order No. 2023. July 28. </w:t>
      </w:r>
      <w:r w:rsidRPr="00890C89">
        <w:rPr>
          <w:rFonts w:ascii="Times New Roman" w:hAnsi="Times New Roman" w:cs="Times New Roman"/>
        </w:rPr>
        <w:t>https://www.ferc.gov/media/e-1-order-2023-rm22-14-000</w:t>
      </w:r>
      <w:r>
        <w:rPr>
          <w:rFonts w:ascii="Times New Roman" w:hAnsi="Times New Roman" w:cs="Times New Roman"/>
        </w:rPr>
        <w:t>. Accessed on January 27, 2024.</w:t>
      </w:r>
    </w:p>
    <w:p w14:paraId="655885EE" w14:textId="5BCE82B0" w:rsidR="00712B1D" w:rsidRDefault="00712B1D" w:rsidP="003E3F92">
      <w:pPr>
        <w:ind w:left="360" w:hanging="360"/>
        <w:rPr>
          <w:rFonts w:ascii="Times New Roman" w:hAnsi="Times New Roman" w:cs="Times New Roman"/>
        </w:rPr>
      </w:pPr>
      <w:r>
        <w:rPr>
          <w:rFonts w:ascii="Times New Roman" w:hAnsi="Times New Roman" w:cs="Times New Roman"/>
        </w:rPr>
        <w:t xml:space="preserve">Harris, Julie, Barbara Kates-Garnick and Eric Hines. 2023. Electricity Market Modernization Recommendations. </w:t>
      </w:r>
      <w:r w:rsidRPr="00E40132">
        <w:rPr>
          <w:rFonts w:ascii="Times New Roman" w:hAnsi="Times New Roman" w:cs="Times New Roman"/>
          <w:u w:val="single"/>
        </w:rPr>
        <w:t>Deliverable D5.</w:t>
      </w:r>
      <w:r>
        <w:rPr>
          <w:rFonts w:ascii="Times New Roman" w:hAnsi="Times New Roman" w:cs="Times New Roman"/>
          <w:u w:val="single"/>
        </w:rPr>
        <w:t>3</w:t>
      </w:r>
      <w:r w:rsidRPr="00E40132">
        <w:rPr>
          <w:rFonts w:ascii="Times New Roman" w:hAnsi="Times New Roman" w:cs="Times New Roman"/>
          <w:u w:val="single"/>
        </w:rPr>
        <w:t>.</w:t>
      </w:r>
      <w:r>
        <w:rPr>
          <w:rFonts w:ascii="Times New Roman" w:hAnsi="Times New Roman" w:cs="Times New Roman"/>
        </w:rPr>
        <w:t xml:space="preserve"> NOWRDC-TEP. October 2023. 14 pp.</w:t>
      </w:r>
    </w:p>
    <w:p w14:paraId="2DB48F8B" w14:textId="7704D754" w:rsidR="008E6618" w:rsidRDefault="008E6618" w:rsidP="003E3F92">
      <w:pPr>
        <w:ind w:left="360" w:hanging="360"/>
        <w:rPr>
          <w:rFonts w:ascii="Times New Roman" w:hAnsi="Times New Roman" w:cs="Times New Roman"/>
        </w:rPr>
      </w:pPr>
      <w:r>
        <w:rPr>
          <w:rFonts w:ascii="Times New Roman" w:hAnsi="Times New Roman" w:cs="Times New Roman"/>
        </w:rPr>
        <w:t>Harris, Julie, Eric Hines and Barbara Kates-Garnick. 2023</w:t>
      </w:r>
      <w:r w:rsidR="00112C1C">
        <w:rPr>
          <w:rFonts w:ascii="Times New Roman" w:hAnsi="Times New Roman" w:cs="Times New Roman"/>
        </w:rPr>
        <w:t>a</w:t>
      </w:r>
      <w:r>
        <w:rPr>
          <w:rFonts w:ascii="Times New Roman" w:hAnsi="Times New Roman" w:cs="Times New Roman"/>
        </w:rPr>
        <w:t xml:space="preserve">. Rapporteur’s Report to the June 2023 Transmission Workshop. OSPRE-2023-01. Tufts University. December 15. </w:t>
      </w:r>
      <w:hyperlink r:id="rId34" w:history="1">
        <w:r w:rsidRPr="008E6618">
          <w:rPr>
            <w:rStyle w:val="Hyperlink"/>
            <w:rFonts w:cs="Times New Roman"/>
            <w:sz w:val="22"/>
          </w:rPr>
          <w:t>https://doi.org/10.60965/ebfs-6630</w:t>
        </w:r>
      </w:hyperlink>
      <w:r>
        <w:rPr>
          <w:rFonts w:ascii="Times New Roman" w:hAnsi="Times New Roman" w:cs="Times New Roman"/>
        </w:rPr>
        <w:t xml:space="preserve"> </w:t>
      </w:r>
    </w:p>
    <w:p w14:paraId="2636AE16" w14:textId="56FDE574" w:rsidR="00EE7C5C" w:rsidRDefault="00EE7C5C" w:rsidP="003E3F92">
      <w:pPr>
        <w:ind w:left="360" w:hanging="360"/>
        <w:rPr>
          <w:rFonts w:ascii="Times New Roman" w:hAnsi="Times New Roman" w:cs="Times New Roman"/>
        </w:rPr>
      </w:pPr>
      <w:r>
        <w:rPr>
          <w:rFonts w:ascii="Times New Roman" w:hAnsi="Times New Roman" w:cs="Times New Roman"/>
        </w:rPr>
        <w:t xml:space="preserve">Hibbard, Emma, Eric Hines, James McCalley and Ali Jahanbani-Ardakani. 2023. Cost and Reliability for Storage of Offshore Wind Energy for 85 GW. </w:t>
      </w:r>
      <w:r w:rsidRPr="00CA0FB5">
        <w:rPr>
          <w:rFonts w:ascii="Times New Roman" w:hAnsi="Times New Roman" w:cs="Times New Roman"/>
          <w:u w:val="single"/>
        </w:rPr>
        <w:t>Deliverable 3.3.</w:t>
      </w:r>
      <w:r>
        <w:rPr>
          <w:rFonts w:ascii="Times New Roman" w:hAnsi="Times New Roman" w:cs="Times New Roman"/>
        </w:rPr>
        <w:t xml:space="preserve"> NOWRDC-TEP. November 2023. 16 pp.</w:t>
      </w:r>
    </w:p>
    <w:p w14:paraId="558C9010" w14:textId="2BF30C96" w:rsidR="0051782B" w:rsidRDefault="0051782B" w:rsidP="003E3F92">
      <w:pPr>
        <w:ind w:left="360" w:hanging="360"/>
        <w:rPr>
          <w:rFonts w:ascii="Times New Roman" w:hAnsi="Times New Roman" w:cs="Times New Roman"/>
        </w:rPr>
      </w:pPr>
      <w:r>
        <w:rPr>
          <w:rFonts w:ascii="Times New Roman" w:hAnsi="Times New Roman" w:cs="Times New Roman"/>
        </w:rPr>
        <w:t xml:space="preserve">Hines, Eric and Rebecca Wolf. 2022. Interregional Power Flow Model for Existing Network Topology and POI Capacities: ArcGIS Model for 30, 60, and 100+ GW Offshore Wind Buildouts on the U.S. East Coast. </w:t>
      </w:r>
      <w:r w:rsidRPr="00736860">
        <w:rPr>
          <w:rFonts w:ascii="Times New Roman" w:hAnsi="Times New Roman" w:cs="Times New Roman"/>
          <w:u w:val="single"/>
        </w:rPr>
        <w:t>Deliverable D1.1.</w:t>
      </w:r>
      <w:r>
        <w:rPr>
          <w:rFonts w:ascii="Times New Roman" w:hAnsi="Times New Roman" w:cs="Times New Roman"/>
        </w:rPr>
        <w:t xml:space="preserve"> NOWRDC-TEP. March 2022. 19 pp.</w:t>
      </w:r>
    </w:p>
    <w:p w14:paraId="08D38CD7" w14:textId="3F6307A9" w:rsidR="00287B22" w:rsidRDefault="00287B22" w:rsidP="003E3F92">
      <w:pPr>
        <w:ind w:left="360" w:hanging="360"/>
        <w:rPr>
          <w:rFonts w:ascii="Times New Roman" w:hAnsi="Times New Roman" w:cs="Times New Roman"/>
        </w:rPr>
      </w:pPr>
      <w:r>
        <w:rPr>
          <w:rFonts w:ascii="Times New Roman" w:hAnsi="Times New Roman" w:cs="Times New Roman"/>
        </w:rPr>
        <w:t xml:space="preserve">Kates-Garnick, Barbara, Julie Harris and Eric Hines. 2022. Summary of the State-of-the-Practice in Offshore Wind Transmission Markets at the State and RTO Levels. </w:t>
      </w:r>
      <w:r w:rsidRPr="00E40132">
        <w:rPr>
          <w:rFonts w:ascii="Times New Roman" w:hAnsi="Times New Roman" w:cs="Times New Roman"/>
          <w:u w:val="single"/>
        </w:rPr>
        <w:t>Deliverable D5.1.</w:t>
      </w:r>
      <w:r>
        <w:rPr>
          <w:rFonts w:ascii="Times New Roman" w:hAnsi="Times New Roman" w:cs="Times New Roman"/>
        </w:rPr>
        <w:t xml:space="preserve"> NOWRDC-TEP. July 2022, November 2022 rev. 1. 40 pp.</w:t>
      </w:r>
    </w:p>
    <w:p w14:paraId="795C448D" w14:textId="7122A0A3" w:rsidR="00E40132" w:rsidRDefault="00E40132" w:rsidP="003E3F92">
      <w:pPr>
        <w:ind w:left="360" w:hanging="360"/>
        <w:rPr>
          <w:rFonts w:ascii="Times New Roman" w:hAnsi="Times New Roman" w:cs="Times New Roman"/>
        </w:rPr>
      </w:pPr>
      <w:r>
        <w:rPr>
          <w:rFonts w:ascii="Times New Roman" w:hAnsi="Times New Roman" w:cs="Times New Roman"/>
        </w:rPr>
        <w:t xml:space="preserve">Kates-Garnick, Barbara, Julie Harris and Eric Hines. 2022. Summary of the State-of-the-Practice in Offshore Wind Transmission Markets at the federal levels. </w:t>
      </w:r>
      <w:r w:rsidRPr="00E40132">
        <w:rPr>
          <w:rFonts w:ascii="Times New Roman" w:hAnsi="Times New Roman" w:cs="Times New Roman"/>
          <w:u w:val="single"/>
        </w:rPr>
        <w:t>Deliverable D5.</w:t>
      </w:r>
      <w:r>
        <w:rPr>
          <w:rFonts w:ascii="Times New Roman" w:hAnsi="Times New Roman" w:cs="Times New Roman"/>
          <w:u w:val="single"/>
        </w:rPr>
        <w:t>2</w:t>
      </w:r>
      <w:r w:rsidRPr="00E40132">
        <w:rPr>
          <w:rFonts w:ascii="Times New Roman" w:hAnsi="Times New Roman" w:cs="Times New Roman"/>
          <w:u w:val="single"/>
        </w:rPr>
        <w:t>.</w:t>
      </w:r>
      <w:r>
        <w:rPr>
          <w:rFonts w:ascii="Times New Roman" w:hAnsi="Times New Roman" w:cs="Times New Roman"/>
        </w:rPr>
        <w:t xml:space="preserve"> NOWRDC-TEP. November 2022. 31 pp.</w:t>
      </w:r>
    </w:p>
    <w:p w14:paraId="1D29D0A4" w14:textId="1F3EF46C" w:rsidR="005F6AAD" w:rsidRDefault="005F6AAD" w:rsidP="003E3F92">
      <w:pPr>
        <w:ind w:left="360" w:hanging="360"/>
        <w:rPr>
          <w:rFonts w:ascii="Times New Roman" w:hAnsi="Times New Roman" w:cs="Times New Roman"/>
        </w:rPr>
      </w:pPr>
      <w:r>
        <w:rPr>
          <w:rFonts w:ascii="Times New Roman" w:hAnsi="Times New Roman" w:cs="Times New Roman"/>
        </w:rPr>
        <w:t xml:space="preserve">MA. 2023. Clean Energy Transmission Working Group: Report to the Legislature. Massachusetts Department of Energy Resources (DOER), Massachusetts Executive Office of Energy and </w:t>
      </w:r>
      <w:r>
        <w:rPr>
          <w:rFonts w:ascii="Times New Roman" w:hAnsi="Times New Roman" w:cs="Times New Roman"/>
        </w:rPr>
        <w:lastRenderedPageBreak/>
        <w:t>Environmental Affairs (EEA), Massachusetts Department of Public Utilities (DPU). December.</w:t>
      </w:r>
      <w:r w:rsidRPr="005F6AAD">
        <w:t xml:space="preserve"> </w:t>
      </w:r>
      <w:r w:rsidRPr="005F6AAD">
        <w:rPr>
          <w:rFonts w:ascii="Times New Roman" w:hAnsi="Times New Roman" w:cs="Times New Roman"/>
        </w:rPr>
        <w:t>https://www.mass.gov/doc/clean-energy-transmission-working-group-final-report/download</w:t>
      </w:r>
      <w:r>
        <w:rPr>
          <w:rFonts w:ascii="Times New Roman" w:hAnsi="Times New Roman" w:cs="Times New Roman"/>
        </w:rPr>
        <w:t>. Accessed on January 27, 2024.</w:t>
      </w:r>
    </w:p>
    <w:p w14:paraId="146CBE09" w14:textId="3B9BFD5B" w:rsidR="0051782B" w:rsidRDefault="0051782B" w:rsidP="003E3F92">
      <w:pPr>
        <w:ind w:left="360" w:hanging="360"/>
        <w:rPr>
          <w:rFonts w:ascii="Times New Roman" w:hAnsi="Times New Roman" w:cs="Times New Roman"/>
        </w:rPr>
      </w:pPr>
      <w:r>
        <w:rPr>
          <w:rFonts w:ascii="Times New Roman" w:hAnsi="Times New Roman" w:cs="Times New Roman"/>
        </w:rPr>
        <w:t>McCalley, James, Ali Jahanbani-Ardakani, Abhinav Venkatraman, Eric Hines and Per-Anders Lof</w:t>
      </w:r>
      <w:r w:rsidR="00BA50DA">
        <w:rPr>
          <w:rFonts w:ascii="Times New Roman" w:hAnsi="Times New Roman" w:cs="Times New Roman"/>
        </w:rPr>
        <w:t xml:space="preserve">. 2022. Eastern Interconnection POI Identification and Reduced-Bus Poer Flow Model. </w:t>
      </w:r>
      <w:r w:rsidR="00BA50DA" w:rsidRPr="00736860">
        <w:rPr>
          <w:rFonts w:ascii="Times New Roman" w:hAnsi="Times New Roman" w:cs="Times New Roman"/>
          <w:u w:val="single"/>
        </w:rPr>
        <w:t>Deliverable D1.2.</w:t>
      </w:r>
      <w:r w:rsidR="00BA50DA">
        <w:rPr>
          <w:rFonts w:ascii="Times New Roman" w:hAnsi="Times New Roman" w:cs="Times New Roman"/>
        </w:rPr>
        <w:t xml:space="preserve"> NOWRDC-TEP. August 2022. 44 pp.</w:t>
      </w:r>
    </w:p>
    <w:p w14:paraId="6B23E665" w14:textId="0CD67EBF" w:rsidR="006F5BDD" w:rsidRDefault="006F5BDD" w:rsidP="003E3F92">
      <w:pPr>
        <w:ind w:left="360" w:hanging="360"/>
        <w:rPr>
          <w:rFonts w:ascii="Times New Roman" w:hAnsi="Times New Roman" w:cs="Times New Roman"/>
        </w:rPr>
      </w:pPr>
      <w:r>
        <w:rPr>
          <w:rFonts w:ascii="Times New Roman" w:hAnsi="Times New Roman" w:cs="Times New Roman"/>
        </w:rPr>
        <w:t xml:space="preserve">McCalley, James, Ali Jahanbani-Ardakani, Abhinav Venkatraman, Eric Hines and Per-Anders Lof. 2022. Eastern Interconnection Analysis of 30 GW Offshore Wind. </w:t>
      </w:r>
      <w:r w:rsidRPr="00736860">
        <w:rPr>
          <w:rFonts w:ascii="Times New Roman" w:hAnsi="Times New Roman" w:cs="Times New Roman"/>
          <w:u w:val="single"/>
        </w:rPr>
        <w:t>Deliverable D</w:t>
      </w:r>
      <w:r>
        <w:rPr>
          <w:rFonts w:ascii="Times New Roman" w:hAnsi="Times New Roman" w:cs="Times New Roman"/>
          <w:u w:val="single"/>
        </w:rPr>
        <w:t>2.1</w:t>
      </w:r>
      <w:r w:rsidRPr="00736860">
        <w:rPr>
          <w:rFonts w:ascii="Times New Roman" w:hAnsi="Times New Roman" w:cs="Times New Roman"/>
          <w:u w:val="single"/>
        </w:rPr>
        <w:t>.</w:t>
      </w:r>
      <w:r>
        <w:rPr>
          <w:rFonts w:ascii="Times New Roman" w:hAnsi="Times New Roman" w:cs="Times New Roman"/>
        </w:rPr>
        <w:t xml:space="preserve"> NOWRDC-TEP. October 2022</w:t>
      </w:r>
      <w:r w:rsidR="00AC1D84">
        <w:rPr>
          <w:rFonts w:ascii="Times New Roman" w:hAnsi="Times New Roman" w:cs="Times New Roman"/>
        </w:rPr>
        <w:t>, December 2022 final</w:t>
      </w:r>
      <w:r>
        <w:rPr>
          <w:rFonts w:ascii="Times New Roman" w:hAnsi="Times New Roman" w:cs="Times New Roman"/>
        </w:rPr>
        <w:t>. 59 pp.</w:t>
      </w:r>
    </w:p>
    <w:p w14:paraId="1797BF00" w14:textId="4F2F5338" w:rsidR="00AC1D84" w:rsidRDefault="00AC1D84" w:rsidP="00AC1D84">
      <w:pPr>
        <w:ind w:left="360" w:hanging="360"/>
        <w:rPr>
          <w:rFonts w:ascii="Times New Roman" w:hAnsi="Times New Roman" w:cs="Times New Roman"/>
        </w:rPr>
      </w:pPr>
      <w:r>
        <w:rPr>
          <w:rFonts w:ascii="Times New Roman" w:hAnsi="Times New Roman" w:cs="Times New Roman"/>
        </w:rPr>
        <w:t xml:space="preserve">McCalley, James, Ali Jahanbani-Ardakani, Abhinav Venkatraman, </w:t>
      </w:r>
      <w:r w:rsidR="00187306">
        <w:rPr>
          <w:rFonts w:ascii="Times New Roman" w:hAnsi="Times New Roman" w:cs="Times New Roman"/>
        </w:rPr>
        <w:t xml:space="preserve">Emma Hibbard, Rebecca Wolf and </w:t>
      </w:r>
      <w:r>
        <w:rPr>
          <w:rFonts w:ascii="Times New Roman" w:hAnsi="Times New Roman" w:cs="Times New Roman"/>
        </w:rPr>
        <w:t>Eric Hines. 202</w:t>
      </w:r>
      <w:r w:rsidR="00187306">
        <w:rPr>
          <w:rFonts w:ascii="Times New Roman" w:hAnsi="Times New Roman" w:cs="Times New Roman"/>
        </w:rPr>
        <w:t>3</w:t>
      </w:r>
      <w:r>
        <w:rPr>
          <w:rFonts w:ascii="Times New Roman" w:hAnsi="Times New Roman" w:cs="Times New Roman"/>
        </w:rPr>
        <w:t xml:space="preserve">. Eastern Interconnection Analysis of </w:t>
      </w:r>
      <w:r w:rsidR="00187306">
        <w:rPr>
          <w:rFonts w:ascii="Times New Roman" w:hAnsi="Times New Roman" w:cs="Times New Roman"/>
        </w:rPr>
        <w:t>85</w:t>
      </w:r>
      <w:r>
        <w:rPr>
          <w:rFonts w:ascii="Times New Roman" w:hAnsi="Times New Roman" w:cs="Times New Roman"/>
        </w:rPr>
        <w:t xml:space="preserve"> GW Offshore Wind. </w:t>
      </w:r>
      <w:r w:rsidRPr="00736860">
        <w:rPr>
          <w:rFonts w:ascii="Times New Roman" w:hAnsi="Times New Roman" w:cs="Times New Roman"/>
          <w:u w:val="single"/>
        </w:rPr>
        <w:t>Deliverable D</w:t>
      </w:r>
      <w:r>
        <w:rPr>
          <w:rFonts w:ascii="Times New Roman" w:hAnsi="Times New Roman" w:cs="Times New Roman"/>
          <w:u w:val="single"/>
        </w:rPr>
        <w:t>2.</w:t>
      </w:r>
      <w:r w:rsidR="00187306">
        <w:rPr>
          <w:rFonts w:ascii="Times New Roman" w:hAnsi="Times New Roman" w:cs="Times New Roman"/>
          <w:u w:val="single"/>
        </w:rPr>
        <w:t>2</w:t>
      </w:r>
      <w:r w:rsidRPr="00736860">
        <w:rPr>
          <w:rFonts w:ascii="Times New Roman" w:hAnsi="Times New Roman" w:cs="Times New Roman"/>
          <w:u w:val="single"/>
        </w:rPr>
        <w:t>.</w:t>
      </w:r>
      <w:r>
        <w:rPr>
          <w:rFonts w:ascii="Times New Roman" w:hAnsi="Times New Roman" w:cs="Times New Roman"/>
        </w:rPr>
        <w:t xml:space="preserve"> NOWRDC-TEP. </w:t>
      </w:r>
      <w:r w:rsidR="00187306">
        <w:rPr>
          <w:rFonts w:ascii="Times New Roman" w:hAnsi="Times New Roman" w:cs="Times New Roman"/>
        </w:rPr>
        <w:t>August</w:t>
      </w:r>
      <w:r>
        <w:rPr>
          <w:rFonts w:ascii="Times New Roman" w:hAnsi="Times New Roman" w:cs="Times New Roman"/>
        </w:rPr>
        <w:t xml:space="preserve"> 202</w:t>
      </w:r>
      <w:r w:rsidR="00187306">
        <w:rPr>
          <w:rFonts w:ascii="Times New Roman" w:hAnsi="Times New Roman" w:cs="Times New Roman"/>
        </w:rPr>
        <w:t>3</w:t>
      </w:r>
      <w:r>
        <w:rPr>
          <w:rFonts w:ascii="Times New Roman" w:hAnsi="Times New Roman" w:cs="Times New Roman"/>
        </w:rPr>
        <w:t xml:space="preserve">. </w:t>
      </w:r>
      <w:r w:rsidR="00187306">
        <w:rPr>
          <w:rFonts w:ascii="Times New Roman" w:hAnsi="Times New Roman" w:cs="Times New Roman"/>
        </w:rPr>
        <w:t>2</w:t>
      </w:r>
      <w:r>
        <w:rPr>
          <w:rFonts w:ascii="Times New Roman" w:hAnsi="Times New Roman" w:cs="Times New Roman"/>
        </w:rPr>
        <w:t>9 pp.</w:t>
      </w:r>
    </w:p>
    <w:p w14:paraId="5768B8B3" w14:textId="00A7573D" w:rsidR="00F32FAE" w:rsidRDefault="00F32FAE" w:rsidP="00AC1D84">
      <w:pPr>
        <w:ind w:left="360" w:hanging="360"/>
        <w:rPr>
          <w:rFonts w:ascii="Times New Roman" w:hAnsi="Times New Roman" w:cs="Times New Roman"/>
        </w:rPr>
      </w:pPr>
      <w:r>
        <w:rPr>
          <w:rFonts w:ascii="Times New Roman" w:hAnsi="Times New Roman" w:cs="Times New Roman"/>
        </w:rPr>
        <w:t xml:space="preserve">McCalley, James, Ali Jahanbani-Ardakani, Abhinav Venkatraman, Eric Hines and Per-Anders Lof. 2024. Technical report describing models for high offshore wind scenarios. </w:t>
      </w:r>
      <w:r w:rsidRPr="00736860">
        <w:rPr>
          <w:rFonts w:ascii="Times New Roman" w:hAnsi="Times New Roman" w:cs="Times New Roman"/>
          <w:u w:val="single"/>
        </w:rPr>
        <w:t>Deliverable D</w:t>
      </w:r>
      <w:r>
        <w:rPr>
          <w:rFonts w:ascii="Times New Roman" w:hAnsi="Times New Roman" w:cs="Times New Roman"/>
          <w:u w:val="single"/>
        </w:rPr>
        <w:t>2.3</w:t>
      </w:r>
      <w:r w:rsidRPr="00736860">
        <w:rPr>
          <w:rFonts w:ascii="Times New Roman" w:hAnsi="Times New Roman" w:cs="Times New Roman"/>
          <w:u w:val="single"/>
        </w:rPr>
        <w:t>.</w:t>
      </w:r>
      <w:r>
        <w:rPr>
          <w:rFonts w:ascii="Times New Roman" w:hAnsi="Times New Roman" w:cs="Times New Roman"/>
        </w:rPr>
        <w:t xml:space="preserve"> NOWRDC-TEP. January 2024. 88 pp.</w:t>
      </w:r>
    </w:p>
    <w:p w14:paraId="10C30403" w14:textId="6DB4BB2D" w:rsidR="00F452C1" w:rsidRDefault="00F41F8E" w:rsidP="004F59C6">
      <w:pPr>
        <w:ind w:left="360" w:hanging="360"/>
        <w:rPr>
          <w:rFonts w:ascii="Times New Roman" w:hAnsi="Times New Roman" w:cs="Times New Roman"/>
        </w:rPr>
      </w:pPr>
      <w:r>
        <w:rPr>
          <w:rFonts w:ascii="Times New Roman" w:hAnsi="Times New Roman" w:cs="Times New Roman"/>
        </w:rPr>
        <w:t xml:space="preserve">McCalley, James, Ali Jahanbani-Ardakani, Abhinav Venkatraman and Eric Hines. 2022. Resource Variability Analysis. </w:t>
      </w:r>
      <w:r w:rsidRPr="00736860">
        <w:rPr>
          <w:rFonts w:ascii="Times New Roman" w:hAnsi="Times New Roman" w:cs="Times New Roman"/>
          <w:u w:val="single"/>
        </w:rPr>
        <w:t>Deliverable D</w:t>
      </w:r>
      <w:r>
        <w:rPr>
          <w:rFonts w:ascii="Times New Roman" w:hAnsi="Times New Roman" w:cs="Times New Roman"/>
          <w:u w:val="single"/>
        </w:rPr>
        <w:t>3.1</w:t>
      </w:r>
      <w:r w:rsidRPr="00736860">
        <w:rPr>
          <w:rFonts w:ascii="Times New Roman" w:hAnsi="Times New Roman" w:cs="Times New Roman"/>
          <w:u w:val="single"/>
        </w:rPr>
        <w:t>.</w:t>
      </w:r>
      <w:r>
        <w:rPr>
          <w:rFonts w:ascii="Times New Roman" w:hAnsi="Times New Roman" w:cs="Times New Roman"/>
        </w:rPr>
        <w:t xml:space="preserve"> NOWRDC-TEP. March 2022, May 2022 rev. 1. 26 pp.</w:t>
      </w:r>
    </w:p>
    <w:p w14:paraId="33C422CB" w14:textId="5191F285" w:rsidR="00C02079" w:rsidRDefault="00C02079" w:rsidP="004F59C6">
      <w:pPr>
        <w:ind w:left="360" w:hanging="360"/>
        <w:rPr>
          <w:rFonts w:ascii="Times New Roman" w:hAnsi="Times New Roman" w:cs="Times New Roman"/>
        </w:rPr>
      </w:pPr>
      <w:r>
        <w:rPr>
          <w:rFonts w:ascii="Times New Roman" w:hAnsi="Times New Roman" w:cs="Times New Roman"/>
        </w:rPr>
        <w:t xml:space="preserve">McCalley, James, Ali Jahanbani-Ardakani, Abhinav Venkatraman and Eric Hines. 2022. Incorporation of variability inputs with CEP model. </w:t>
      </w:r>
      <w:r w:rsidRPr="00736860">
        <w:rPr>
          <w:rFonts w:ascii="Times New Roman" w:hAnsi="Times New Roman" w:cs="Times New Roman"/>
          <w:u w:val="single"/>
        </w:rPr>
        <w:t>Deliverable D</w:t>
      </w:r>
      <w:r>
        <w:rPr>
          <w:rFonts w:ascii="Times New Roman" w:hAnsi="Times New Roman" w:cs="Times New Roman"/>
          <w:u w:val="single"/>
        </w:rPr>
        <w:t>3.2</w:t>
      </w:r>
      <w:r w:rsidRPr="00736860">
        <w:rPr>
          <w:rFonts w:ascii="Times New Roman" w:hAnsi="Times New Roman" w:cs="Times New Roman"/>
          <w:u w:val="single"/>
        </w:rPr>
        <w:t>.</w:t>
      </w:r>
      <w:r>
        <w:rPr>
          <w:rFonts w:ascii="Times New Roman" w:hAnsi="Times New Roman" w:cs="Times New Roman"/>
        </w:rPr>
        <w:t xml:space="preserve"> NOWRDC-TEP. </w:t>
      </w:r>
      <w:r w:rsidR="00777BDA">
        <w:rPr>
          <w:rFonts w:ascii="Times New Roman" w:hAnsi="Times New Roman" w:cs="Times New Roman"/>
        </w:rPr>
        <w:t>August</w:t>
      </w:r>
      <w:r>
        <w:rPr>
          <w:rFonts w:ascii="Times New Roman" w:hAnsi="Times New Roman" w:cs="Times New Roman"/>
        </w:rPr>
        <w:t xml:space="preserve"> 2022. 29 pp.</w:t>
      </w:r>
    </w:p>
    <w:p w14:paraId="0FB04D91" w14:textId="37ECA484" w:rsidR="00754BA6" w:rsidRDefault="00754BA6" w:rsidP="004F59C6">
      <w:pPr>
        <w:ind w:left="360" w:hanging="360"/>
        <w:rPr>
          <w:rFonts w:ascii="Times New Roman" w:hAnsi="Times New Roman" w:cs="Times New Roman"/>
        </w:rPr>
      </w:pPr>
      <w:r>
        <w:rPr>
          <w:rFonts w:ascii="Times New Roman" w:hAnsi="Times New Roman" w:cs="Times New Roman"/>
        </w:rPr>
        <w:t>Nazir, Moazzam and Johan Enslin. 2022. HVDC Hardware and System Characterization: Global State-of-the-Practice and State-of-the-Art for Multi-Terminal HVDC Networks. Deliverable D4.1. NOWRDC-TEP. March 2022, May 2022 rev. 1. 29 pp.</w:t>
      </w:r>
    </w:p>
    <w:p w14:paraId="069BC65E" w14:textId="61E30628" w:rsidR="00F5209E" w:rsidRDefault="00F5209E" w:rsidP="004F59C6">
      <w:pPr>
        <w:ind w:left="360" w:hanging="360"/>
        <w:rPr>
          <w:rFonts w:ascii="Times New Roman" w:hAnsi="Times New Roman" w:cs="Times New Roman"/>
        </w:rPr>
      </w:pPr>
      <w:r w:rsidRPr="00F5209E">
        <w:rPr>
          <w:rFonts w:ascii="Times New Roman" w:hAnsi="Times New Roman" w:cs="Times New Roman"/>
        </w:rPr>
        <w:t>Nazir,</w:t>
      </w:r>
      <w:r>
        <w:rPr>
          <w:rFonts w:ascii="Times New Roman" w:hAnsi="Times New Roman" w:cs="Times New Roman"/>
        </w:rPr>
        <w:t xml:space="preserve"> Moazzam, Johan</w:t>
      </w:r>
      <w:r w:rsidRPr="00F5209E">
        <w:rPr>
          <w:rFonts w:ascii="Times New Roman" w:hAnsi="Times New Roman" w:cs="Times New Roman"/>
        </w:rPr>
        <w:t xml:space="preserve"> Enslin, E</w:t>
      </w:r>
      <w:r>
        <w:rPr>
          <w:rFonts w:ascii="Times New Roman" w:hAnsi="Times New Roman" w:cs="Times New Roman"/>
        </w:rPr>
        <w:t>ric</w:t>
      </w:r>
      <w:r w:rsidRPr="00F5209E">
        <w:rPr>
          <w:rFonts w:ascii="Times New Roman" w:hAnsi="Times New Roman" w:cs="Times New Roman"/>
        </w:rPr>
        <w:t xml:space="preserve"> Hines, J</w:t>
      </w:r>
      <w:r>
        <w:rPr>
          <w:rFonts w:ascii="Times New Roman" w:hAnsi="Times New Roman" w:cs="Times New Roman"/>
        </w:rPr>
        <w:t>ames</w:t>
      </w:r>
      <w:r w:rsidRPr="00F5209E">
        <w:rPr>
          <w:rFonts w:ascii="Times New Roman" w:hAnsi="Times New Roman" w:cs="Times New Roman"/>
        </w:rPr>
        <w:t xml:space="preserve"> McCalley, P</w:t>
      </w:r>
      <w:r>
        <w:rPr>
          <w:rFonts w:ascii="Times New Roman" w:hAnsi="Times New Roman" w:cs="Times New Roman"/>
        </w:rPr>
        <w:t>er-Anders</w:t>
      </w:r>
      <w:r w:rsidRPr="00F5209E">
        <w:rPr>
          <w:rFonts w:ascii="Times New Roman" w:hAnsi="Times New Roman" w:cs="Times New Roman"/>
        </w:rPr>
        <w:t xml:space="preserve"> Lof</w:t>
      </w:r>
      <w:r>
        <w:rPr>
          <w:rFonts w:ascii="Times New Roman" w:hAnsi="Times New Roman" w:cs="Times New Roman"/>
        </w:rPr>
        <w:t xml:space="preserve"> and</w:t>
      </w:r>
      <w:r w:rsidRPr="00F5209E">
        <w:rPr>
          <w:rFonts w:ascii="Times New Roman" w:hAnsi="Times New Roman" w:cs="Times New Roman"/>
        </w:rPr>
        <w:t xml:space="preserve"> B</w:t>
      </w:r>
      <w:r>
        <w:rPr>
          <w:rFonts w:ascii="Times New Roman" w:hAnsi="Times New Roman" w:cs="Times New Roman"/>
        </w:rPr>
        <w:t>arbara</w:t>
      </w:r>
      <w:r w:rsidRPr="00F5209E">
        <w:rPr>
          <w:rFonts w:ascii="Times New Roman" w:hAnsi="Times New Roman" w:cs="Times New Roman"/>
        </w:rPr>
        <w:t xml:space="preserve"> K</w:t>
      </w:r>
      <w:r>
        <w:rPr>
          <w:rFonts w:ascii="Times New Roman" w:hAnsi="Times New Roman" w:cs="Times New Roman"/>
        </w:rPr>
        <w:t>ates-</w:t>
      </w:r>
      <w:r w:rsidRPr="00F5209E">
        <w:rPr>
          <w:rFonts w:ascii="Times New Roman" w:hAnsi="Times New Roman" w:cs="Times New Roman"/>
        </w:rPr>
        <w:t>Garnick</w:t>
      </w:r>
      <w:r>
        <w:rPr>
          <w:rFonts w:ascii="Times New Roman" w:hAnsi="Times New Roman" w:cs="Times New Roman"/>
        </w:rPr>
        <w:t xml:space="preserve">. </w:t>
      </w:r>
      <w:r w:rsidRPr="00F5209E">
        <w:rPr>
          <w:rFonts w:ascii="Times New Roman" w:hAnsi="Times New Roman" w:cs="Times New Roman"/>
        </w:rPr>
        <w:t>2023. Multi-terminal HVDC Grid Topology for large Scale Integration of Offshore Wind on the U.S Atlantic Coast</w:t>
      </w:r>
      <w:r>
        <w:rPr>
          <w:rFonts w:ascii="Times New Roman" w:hAnsi="Times New Roman" w:cs="Times New Roman"/>
        </w:rPr>
        <w:t xml:space="preserve">. </w:t>
      </w:r>
      <w:r w:rsidRPr="00F5209E">
        <w:rPr>
          <w:rFonts w:ascii="Times New Roman" w:hAnsi="Times New Roman" w:cs="Times New Roman"/>
          <w:i/>
          <w:iCs/>
        </w:rPr>
        <w:t>Proceedings of IEEE eGRID-2022</w:t>
      </w:r>
      <w:r>
        <w:rPr>
          <w:rFonts w:ascii="Times New Roman" w:hAnsi="Times New Roman" w:cs="Times New Roman"/>
        </w:rPr>
        <w:t>.</w:t>
      </w:r>
      <w:r w:rsidRPr="00F5209E">
        <w:rPr>
          <w:rFonts w:ascii="Times New Roman" w:hAnsi="Times New Roman" w:cs="Times New Roman"/>
        </w:rPr>
        <w:t xml:space="preserve"> Auckland New Zealand, 29 Nov – 2 Dec 2022</w:t>
      </w:r>
      <w:r>
        <w:rPr>
          <w:rFonts w:ascii="Times New Roman" w:hAnsi="Times New Roman" w:cs="Times New Roman"/>
        </w:rPr>
        <w:t>.</w:t>
      </w:r>
      <w:r w:rsidRPr="00F5209E">
        <w:rPr>
          <w:rFonts w:ascii="Times New Roman" w:hAnsi="Times New Roman" w:cs="Times New Roman"/>
        </w:rPr>
        <w:t xml:space="preserve"> Paper #2399.</w:t>
      </w:r>
    </w:p>
    <w:p w14:paraId="4165FB42" w14:textId="4FE6A48C" w:rsidR="00A66903" w:rsidRDefault="00A66903" w:rsidP="004F59C6">
      <w:pPr>
        <w:ind w:left="360" w:hanging="360"/>
        <w:rPr>
          <w:rFonts w:ascii="Times New Roman" w:hAnsi="Times New Roman" w:cs="Times New Roman"/>
        </w:rPr>
      </w:pPr>
      <w:r>
        <w:rPr>
          <w:rFonts w:ascii="Times New Roman" w:hAnsi="Times New Roman" w:cs="Times New Roman"/>
        </w:rPr>
        <w:t xml:space="preserve">Pfeiffenberger, Johannes, J. Michael Hagerty, Joe DeLossa III, Steven Herling, Mark Kalpin, Douglas Sullivan, Carson Peacock, Evan Bennett and Ethan Snyder. 2022. New Jersey State Agreement Approach for Offshore Wind Transmission: Evaluation Report. Prepared by The Brattle Group for the New Jersey Board of Public Utilities. October 26. </w:t>
      </w:r>
      <w:r w:rsidRPr="00A66903">
        <w:rPr>
          <w:rFonts w:ascii="Times New Roman" w:hAnsi="Times New Roman" w:cs="Times New Roman"/>
        </w:rPr>
        <w:t>https://www.brattle.com/insights-events/publications/new-jersey-state-agreement-approach-for-offshore-wind-transmission-evaluation-report/</w:t>
      </w:r>
      <w:r>
        <w:rPr>
          <w:rFonts w:ascii="Times New Roman" w:hAnsi="Times New Roman" w:cs="Times New Roman"/>
        </w:rPr>
        <w:t>. Accessed on January 27, 2024.</w:t>
      </w:r>
    </w:p>
    <w:p w14:paraId="57E385BF" w14:textId="32918B4A" w:rsidR="001B7FFB" w:rsidRDefault="001B7FFB" w:rsidP="001B7FFB">
      <w:pPr>
        <w:pStyle w:val="BibliographyReferences"/>
      </w:pPr>
      <w:r>
        <w:t xml:space="preserve">PROMOTioN. 2024. </w:t>
      </w:r>
      <w:r w:rsidRPr="002D74BE">
        <w:t>Progress on Meshed HVDC Offshore Transmission Network</w:t>
      </w:r>
      <w:r>
        <w:t xml:space="preserve">s. </w:t>
      </w:r>
      <w:r w:rsidRPr="001B7FFB">
        <w:t>https://www.promotion-offshore.net/</w:t>
      </w:r>
      <w:r>
        <w:t xml:space="preserve">. Accessed on January 27, 2024. </w:t>
      </w:r>
    </w:p>
    <w:p w14:paraId="27ADF6D8" w14:textId="77777777" w:rsidR="001B7FFB" w:rsidRPr="00F5209E" w:rsidRDefault="001B7FFB" w:rsidP="004F59C6">
      <w:pPr>
        <w:ind w:left="360" w:hanging="360"/>
        <w:rPr>
          <w:rFonts w:ascii="Times New Roman" w:hAnsi="Times New Roman" w:cs="Times New Roman"/>
        </w:rPr>
      </w:pPr>
    </w:p>
    <w:p w14:paraId="46EDCD8A" w14:textId="77777777" w:rsidR="00EE7C5C" w:rsidRDefault="00EE7C5C" w:rsidP="004F59C6">
      <w:pPr>
        <w:ind w:left="360" w:hanging="360"/>
        <w:rPr>
          <w:rFonts w:ascii="Times New Roman" w:hAnsi="Times New Roman" w:cs="Times New Roman"/>
        </w:rPr>
      </w:pPr>
    </w:p>
    <w:p w14:paraId="05C746F3" w14:textId="77777777" w:rsidR="00C02079" w:rsidRPr="004F59C6" w:rsidRDefault="00C02079" w:rsidP="004F59C6">
      <w:pPr>
        <w:ind w:left="360" w:hanging="360"/>
        <w:rPr>
          <w:rFonts w:ascii="Times New Roman" w:hAnsi="Times New Roman" w:cs="Times New Roman"/>
        </w:rPr>
      </w:pPr>
    </w:p>
    <w:sectPr w:rsidR="00C02079" w:rsidRPr="004F59C6" w:rsidSect="00E23A1B">
      <w:headerReference w:type="default" r:id="rId35"/>
      <w:footerReference w:type="default" r:id="rId3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4765ED" w14:textId="77777777" w:rsidR="00E23A1B" w:rsidRPr="00423B16" w:rsidRDefault="00E23A1B" w:rsidP="00423B16">
      <w:r>
        <w:separator/>
      </w:r>
    </w:p>
  </w:endnote>
  <w:endnote w:type="continuationSeparator" w:id="0">
    <w:p w14:paraId="3241751B" w14:textId="77777777" w:rsidR="00E23A1B" w:rsidRPr="00423B16" w:rsidRDefault="00E23A1B" w:rsidP="00423B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31609" w14:textId="77777777" w:rsidR="00F257D0" w:rsidRDefault="00F257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0"/>
        <w:szCs w:val="20"/>
      </w:rPr>
      <w:id w:val="9148835"/>
      <w:docPartObj>
        <w:docPartGallery w:val="Page Numbers (Bottom of Page)"/>
        <w:docPartUnique/>
      </w:docPartObj>
    </w:sdtPr>
    <w:sdtContent>
      <w:p w14:paraId="732D4DE5" w14:textId="028108BA" w:rsidR="005E3686" w:rsidRPr="00842046" w:rsidRDefault="005E3686" w:rsidP="00D760A1">
        <w:pPr>
          <w:pStyle w:val="Footer"/>
          <w:jc w:val="center"/>
          <w:rPr>
            <w:rFonts w:ascii="Times New Roman" w:hAnsi="Times New Roman" w:cs="Times New Roman"/>
            <w:sz w:val="20"/>
            <w:szCs w:val="20"/>
          </w:rPr>
        </w:pPr>
        <w:r w:rsidRPr="00842046">
          <w:rPr>
            <w:rStyle w:val="PageNumber"/>
            <w:rFonts w:ascii="Times New Roman" w:hAnsi="Times New Roman" w:cs="Times New Roman"/>
            <w:sz w:val="20"/>
            <w:szCs w:val="20"/>
          </w:rPr>
          <w:fldChar w:fldCharType="begin"/>
        </w:r>
        <w:r w:rsidRPr="00842046">
          <w:rPr>
            <w:rStyle w:val="PageNumber"/>
            <w:rFonts w:ascii="Times New Roman" w:hAnsi="Times New Roman" w:cs="Times New Roman"/>
            <w:sz w:val="20"/>
            <w:szCs w:val="20"/>
          </w:rPr>
          <w:instrText xml:space="preserve"> PAGE   \* MERGEFORMAT </w:instrText>
        </w:r>
        <w:r w:rsidRPr="00842046">
          <w:rPr>
            <w:rStyle w:val="PageNumber"/>
            <w:rFonts w:ascii="Times New Roman" w:hAnsi="Times New Roman" w:cs="Times New Roman"/>
            <w:sz w:val="20"/>
            <w:szCs w:val="20"/>
          </w:rPr>
          <w:fldChar w:fldCharType="separate"/>
        </w:r>
        <w:r w:rsidR="00416CEA" w:rsidRPr="00842046">
          <w:rPr>
            <w:rStyle w:val="PageNumber"/>
            <w:rFonts w:ascii="Times New Roman" w:hAnsi="Times New Roman" w:cs="Times New Roman"/>
            <w:noProof/>
            <w:sz w:val="20"/>
            <w:szCs w:val="20"/>
          </w:rPr>
          <w:t>18</w:t>
        </w:r>
        <w:r w:rsidRPr="00842046">
          <w:rPr>
            <w:rStyle w:val="PageNumber"/>
            <w:rFonts w:ascii="Times New Roman" w:hAnsi="Times New Roman" w:cs="Times New Roman"/>
            <w:sz w:val="20"/>
            <w:szCs w:val="20"/>
          </w:rPr>
          <w:fldChar w:fldCharType="end"/>
        </w:r>
      </w:p>
    </w:sdtContent>
  </w:sdt>
  <w:p w14:paraId="2C122DED" w14:textId="77777777" w:rsidR="005E3686" w:rsidRDefault="005E3686">
    <w:pPr>
      <w:pStyle w:val="Footer"/>
    </w:pP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1610E" w14:textId="77777777" w:rsidR="005E3686" w:rsidRDefault="005E3686">
    <w:pPr>
      <w:pStyle w:val="Footer"/>
    </w:pPr>
    <w:r>
      <w:tab/>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0412310"/>
      <w:docPartObj>
        <w:docPartGallery w:val="Page Numbers (Bottom of Page)"/>
        <w:docPartUnique/>
      </w:docPartObj>
    </w:sdtPr>
    <w:sdtEndPr>
      <w:rPr>
        <w:rFonts w:ascii="Times New Roman" w:hAnsi="Times New Roman" w:cs="Times New Roman"/>
        <w:sz w:val="20"/>
        <w:szCs w:val="20"/>
      </w:rPr>
    </w:sdtEndPr>
    <w:sdtContent>
      <w:p w14:paraId="7CBF82C1" w14:textId="77777777" w:rsidR="00A30906" w:rsidRPr="005119C9" w:rsidRDefault="008B4D74" w:rsidP="000D2346">
        <w:pPr>
          <w:pStyle w:val="Footer"/>
          <w:jc w:val="center"/>
          <w:rPr>
            <w:rFonts w:ascii="Times New Roman" w:hAnsi="Times New Roman" w:cs="Times New Roman"/>
            <w:sz w:val="20"/>
            <w:szCs w:val="20"/>
          </w:rPr>
        </w:pPr>
        <w:r w:rsidRPr="005119C9">
          <w:rPr>
            <w:rStyle w:val="PageNumber"/>
            <w:rFonts w:ascii="Times New Roman" w:hAnsi="Times New Roman" w:cs="Times New Roman"/>
            <w:sz w:val="20"/>
            <w:szCs w:val="20"/>
          </w:rPr>
          <w:fldChar w:fldCharType="begin"/>
        </w:r>
        <w:r w:rsidR="00A30906" w:rsidRPr="005119C9">
          <w:rPr>
            <w:rStyle w:val="PageNumber"/>
            <w:rFonts w:ascii="Times New Roman" w:hAnsi="Times New Roman" w:cs="Times New Roman"/>
            <w:sz w:val="20"/>
            <w:szCs w:val="20"/>
          </w:rPr>
          <w:instrText xml:space="preserve"> PAGE   \* MERGEFORMAT </w:instrText>
        </w:r>
        <w:r w:rsidRPr="005119C9">
          <w:rPr>
            <w:rStyle w:val="PageNumber"/>
            <w:rFonts w:ascii="Times New Roman" w:hAnsi="Times New Roman" w:cs="Times New Roman"/>
            <w:sz w:val="20"/>
            <w:szCs w:val="20"/>
          </w:rPr>
          <w:fldChar w:fldCharType="separate"/>
        </w:r>
        <w:r w:rsidR="005E3686" w:rsidRPr="005119C9">
          <w:rPr>
            <w:rStyle w:val="PageNumber"/>
            <w:rFonts w:ascii="Times New Roman" w:hAnsi="Times New Roman" w:cs="Times New Roman"/>
            <w:noProof/>
            <w:sz w:val="20"/>
            <w:szCs w:val="20"/>
          </w:rPr>
          <w:t>23</w:t>
        </w:r>
        <w:r w:rsidRPr="005119C9">
          <w:rPr>
            <w:rStyle w:val="PageNumber"/>
            <w:rFonts w:ascii="Times New Roman" w:hAnsi="Times New Roman" w:cs="Times New Roman"/>
            <w:sz w:val="20"/>
            <w:szCs w:val="20"/>
          </w:rPr>
          <w:fldChar w:fldCharType="end"/>
        </w:r>
      </w:p>
    </w:sdtContent>
  </w:sdt>
  <w:p w14:paraId="5A08256A" w14:textId="77777777" w:rsidR="00A30906" w:rsidRDefault="00A309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1561A9" w14:textId="77777777" w:rsidR="00E23A1B" w:rsidRPr="00423B16" w:rsidRDefault="00E23A1B" w:rsidP="00423B16">
      <w:r>
        <w:separator/>
      </w:r>
    </w:p>
  </w:footnote>
  <w:footnote w:type="continuationSeparator" w:id="0">
    <w:p w14:paraId="1A162E4B" w14:textId="77777777" w:rsidR="00E23A1B" w:rsidRPr="00423B16" w:rsidRDefault="00E23A1B" w:rsidP="00423B16">
      <w:r>
        <w:continuationSeparator/>
      </w:r>
    </w:p>
  </w:footnote>
  <w:footnote w:id="1">
    <w:p w14:paraId="15B90A34" w14:textId="54B84352" w:rsidR="00AB2ABC" w:rsidRDefault="00AB2ABC">
      <w:pPr>
        <w:pStyle w:val="FootnoteText"/>
      </w:pPr>
      <w:r>
        <w:rPr>
          <w:rStyle w:val="FootnoteReference"/>
        </w:rPr>
        <w:footnoteRef/>
      </w:r>
      <w:r>
        <w:t xml:space="preserve"> Note that in the contract Iowa State University was assigned the acronym IAS. The correct acronym, however, is ISU, as used in this document.</w:t>
      </w:r>
    </w:p>
  </w:footnote>
  <w:footnote w:id="2">
    <w:p w14:paraId="56708030" w14:textId="7EEB82E3" w:rsidR="00EA03DD" w:rsidRDefault="00EA03DD" w:rsidP="00B631A7">
      <w:pPr>
        <w:pStyle w:val="FootnoteText"/>
        <w:tabs>
          <w:tab w:val="clear" w:pos="432"/>
        </w:tabs>
        <w:ind w:left="0" w:firstLine="0"/>
      </w:pPr>
      <w:r>
        <w:rPr>
          <w:rStyle w:val="FootnoteReference"/>
        </w:rPr>
        <w:footnoteRef/>
      </w:r>
      <w:r>
        <w:t xml:space="preserve"> We acknowledge that what we call the New York/New Jersey region contains two separate RTOs: NYISO and PJM. Were such a procurement and implementation process to be adopted, it would be possible to consider Step 2 as isolated to specific regions (ISO-NE, NYISO, PJM) or integrated between these regions depending on timing, technical-policy feasibility and opportunity, and political will.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1D6AD" w14:textId="77777777" w:rsidR="00F257D0" w:rsidRDefault="00F257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16EEC" w14:textId="77777777" w:rsidR="005E3686" w:rsidRPr="00F42916" w:rsidRDefault="005E3686" w:rsidP="00D760A1">
    <w:pPr>
      <w:pStyle w:val="Header"/>
      <w:jc w:val="center"/>
      <w:rPr>
        <w:color w:val="808080" w:themeColor="background1" w:themeShade="80"/>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6894A" w14:textId="77777777" w:rsidR="00F257D0" w:rsidRDefault="00F257D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A94DE" w14:textId="39D86DB1" w:rsidR="00A30906" w:rsidRDefault="00A309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1CAC5C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CA4445F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3322C2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9E4FC46"/>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42AB4A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1A02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C4EAD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63ECC34"/>
    <w:lvl w:ilvl="0">
      <w:start w:val="1"/>
      <w:numFmt w:val="bullet"/>
      <w:pStyle w:val="ListBullet2"/>
      <w:lvlText w:val="o"/>
      <w:lvlJc w:val="left"/>
      <w:pPr>
        <w:ind w:left="1080" w:hanging="360"/>
      </w:pPr>
      <w:rPr>
        <w:rFonts w:ascii="Courier New" w:hAnsi="Courier New" w:cs="Courier New" w:hint="default"/>
      </w:rPr>
    </w:lvl>
  </w:abstractNum>
  <w:abstractNum w:abstractNumId="8" w15:restartNumberingAfterBreak="0">
    <w:nsid w:val="FFFFFF88"/>
    <w:multiLevelType w:val="singleLevel"/>
    <w:tmpl w:val="771CCC92"/>
    <w:lvl w:ilvl="0">
      <w:start w:val="3"/>
      <w:numFmt w:val="decimal"/>
      <w:lvlText w:val="%1."/>
      <w:lvlJc w:val="left"/>
      <w:pPr>
        <w:tabs>
          <w:tab w:val="num" w:pos="360"/>
        </w:tabs>
        <w:ind w:left="360" w:hanging="360"/>
      </w:pPr>
      <w:rPr>
        <w:rFonts w:hint="default"/>
      </w:rPr>
    </w:lvl>
  </w:abstractNum>
  <w:abstractNum w:abstractNumId="9" w15:restartNumberingAfterBreak="0">
    <w:nsid w:val="FFFFFF89"/>
    <w:multiLevelType w:val="singleLevel"/>
    <w:tmpl w:val="C2782C7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7C1C13"/>
    <w:multiLevelType w:val="hybridMultilevel"/>
    <w:tmpl w:val="7A00D3AC"/>
    <w:lvl w:ilvl="0" w:tplc="9F0C2064">
      <w:start w:val="1"/>
      <w:numFmt w:val="bullet"/>
      <w:pStyle w:val="Bullet1BeforeBullet2"/>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1" w15:restartNumberingAfterBreak="0">
    <w:nsid w:val="13F9676E"/>
    <w:multiLevelType w:val="hybridMultilevel"/>
    <w:tmpl w:val="48E6062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8EC569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A405251"/>
    <w:multiLevelType w:val="multilevel"/>
    <w:tmpl w:val="8FD67EEC"/>
    <w:lvl w:ilvl="0">
      <w:start w:val="1"/>
      <w:numFmt w:val="decimal"/>
      <w:lvlText w:val="%1."/>
      <w:lvlJc w:val="left"/>
      <w:pPr>
        <w:ind w:left="580" w:hanging="360"/>
      </w:pPr>
      <w:rPr>
        <w:rFonts w:ascii="Times New Roman" w:eastAsia="Times New Roman" w:hAnsi="Times New Roman" w:cs="Times New Roman" w:hint="default"/>
        <w:spacing w:val="-1"/>
        <w:w w:val="100"/>
        <w:sz w:val="24"/>
        <w:szCs w:val="24"/>
      </w:rPr>
    </w:lvl>
    <w:lvl w:ilvl="1">
      <w:start w:val="1"/>
      <w:numFmt w:val="decimal"/>
      <w:lvlText w:val="%1.%2."/>
      <w:lvlJc w:val="left"/>
      <w:pPr>
        <w:ind w:left="1012" w:hanging="432"/>
      </w:pPr>
      <w:rPr>
        <w:rFonts w:ascii="Times New Roman" w:eastAsia="Times New Roman" w:hAnsi="Times New Roman" w:cs="Times New Roman" w:hint="default"/>
        <w:w w:val="100"/>
        <w:sz w:val="24"/>
        <w:szCs w:val="24"/>
      </w:rPr>
    </w:lvl>
    <w:lvl w:ilvl="2">
      <w:start w:val="1"/>
      <w:numFmt w:val="decimal"/>
      <w:lvlText w:val="%1.%2.%3."/>
      <w:lvlJc w:val="left"/>
      <w:pPr>
        <w:ind w:left="1391" w:hanging="600"/>
      </w:pPr>
      <w:rPr>
        <w:rFonts w:ascii="Times New Roman" w:eastAsia="Times New Roman" w:hAnsi="Times New Roman" w:cs="Times New Roman" w:hint="default"/>
        <w:spacing w:val="-8"/>
        <w:w w:val="100"/>
        <w:sz w:val="24"/>
        <w:szCs w:val="24"/>
      </w:rPr>
    </w:lvl>
    <w:lvl w:ilvl="3">
      <w:numFmt w:val="bullet"/>
      <w:lvlText w:val="•"/>
      <w:lvlJc w:val="left"/>
      <w:pPr>
        <w:ind w:left="1440" w:hanging="600"/>
      </w:pPr>
      <w:rPr>
        <w:rFonts w:hint="default"/>
      </w:rPr>
    </w:lvl>
    <w:lvl w:ilvl="4">
      <w:numFmt w:val="bullet"/>
      <w:lvlText w:val="•"/>
      <w:lvlJc w:val="left"/>
      <w:pPr>
        <w:ind w:left="2622" w:hanging="600"/>
      </w:pPr>
      <w:rPr>
        <w:rFonts w:hint="default"/>
      </w:rPr>
    </w:lvl>
    <w:lvl w:ilvl="5">
      <w:numFmt w:val="bullet"/>
      <w:lvlText w:val="•"/>
      <w:lvlJc w:val="left"/>
      <w:pPr>
        <w:ind w:left="3805" w:hanging="600"/>
      </w:pPr>
      <w:rPr>
        <w:rFonts w:hint="default"/>
      </w:rPr>
    </w:lvl>
    <w:lvl w:ilvl="6">
      <w:numFmt w:val="bullet"/>
      <w:lvlText w:val="•"/>
      <w:lvlJc w:val="left"/>
      <w:pPr>
        <w:ind w:left="4988" w:hanging="600"/>
      </w:pPr>
      <w:rPr>
        <w:rFonts w:hint="default"/>
      </w:rPr>
    </w:lvl>
    <w:lvl w:ilvl="7">
      <w:numFmt w:val="bullet"/>
      <w:lvlText w:val="•"/>
      <w:lvlJc w:val="left"/>
      <w:pPr>
        <w:ind w:left="6171" w:hanging="600"/>
      </w:pPr>
      <w:rPr>
        <w:rFonts w:hint="default"/>
      </w:rPr>
    </w:lvl>
    <w:lvl w:ilvl="8">
      <w:numFmt w:val="bullet"/>
      <w:lvlText w:val="•"/>
      <w:lvlJc w:val="left"/>
      <w:pPr>
        <w:ind w:left="7354" w:hanging="600"/>
      </w:pPr>
      <w:rPr>
        <w:rFonts w:hint="default"/>
      </w:rPr>
    </w:lvl>
  </w:abstractNum>
  <w:abstractNum w:abstractNumId="14" w15:restartNumberingAfterBreak="0">
    <w:nsid w:val="1A8D49CF"/>
    <w:multiLevelType w:val="hybridMultilevel"/>
    <w:tmpl w:val="800AA0E2"/>
    <w:lvl w:ilvl="0" w:tplc="20EEC7DA">
      <w:start w:val="1"/>
      <w:numFmt w:val="decimal"/>
      <w:pStyle w:val="ListNumberBeforeBullet2"/>
      <w:lvlText w:val="%1."/>
      <w:lvlJc w:val="left"/>
      <w:pPr>
        <w:ind w:left="79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5" w15:restartNumberingAfterBreak="0">
    <w:nsid w:val="1BA257AE"/>
    <w:multiLevelType w:val="multilevel"/>
    <w:tmpl w:val="769CE086"/>
    <w:lvl w:ilvl="0">
      <w:start w:val="1"/>
      <w:numFmt w:val="decimal"/>
      <w:pStyle w:val="Heading1"/>
      <w:lvlText w:val="%1"/>
      <w:lvlJc w:val="left"/>
      <w:pPr>
        <w:ind w:left="0" w:firstLine="0"/>
      </w:pPr>
    </w:lvl>
    <w:lvl w:ilvl="1">
      <w:start w:val="1"/>
      <w:numFmt w:val="decimal"/>
      <w:pStyle w:val="Heading2"/>
      <w:lvlText w:val="%1.%2"/>
      <w:lvlJc w:val="left"/>
      <w:pPr>
        <w:ind w:left="0" w:firstLine="0"/>
      </w:pPr>
      <w:rPr>
        <w:rFonts w:hint="default"/>
      </w:rPr>
    </w:lvl>
    <w:lvl w:ilvl="2">
      <w:start w:val="1"/>
      <w:numFmt w:val="decimal"/>
      <w:lvlRestart w:val="1"/>
      <w:pStyle w:val="Heading3"/>
      <w:lvlText w:val="%1.%2.%3"/>
      <w:lvlJc w:val="left"/>
      <w:pPr>
        <w:ind w:left="450" w:firstLine="0"/>
      </w:pPr>
      <w:rPr>
        <w:rFonts w:ascii="Arial" w:hAnsi="Arial" w:cs="Arial" w:hint="default"/>
      </w:rPr>
    </w:lvl>
    <w:lvl w:ilvl="3">
      <w:start w:val="1"/>
      <w:numFmt w:val="decimal"/>
      <w:pStyle w:val="Heading4"/>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6" w15:restartNumberingAfterBreak="0">
    <w:nsid w:val="2C737DB5"/>
    <w:multiLevelType w:val="multilevel"/>
    <w:tmpl w:val="5B68408E"/>
    <w:lvl w:ilvl="0">
      <w:start w:val="1"/>
      <w:numFmt w:val="decimal"/>
      <w:lvlText w:val="%1."/>
      <w:lvlJc w:val="left"/>
      <w:pPr>
        <w:ind w:left="580" w:hanging="360"/>
      </w:pPr>
      <w:rPr>
        <w:rFonts w:ascii="Times New Roman" w:eastAsia="Times New Roman" w:hAnsi="Times New Roman" w:cs="Times New Roman" w:hint="default"/>
        <w:spacing w:val="-1"/>
        <w:w w:val="100"/>
        <w:sz w:val="24"/>
        <w:szCs w:val="24"/>
      </w:rPr>
    </w:lvl>
    <w:lvl w:ilvl="1">
      <w:start w:val="1"/>
      <w:numFmt w:val="decimal"/>
      <w:lvlText w:val="%1.%2."/>
      <w:lvlJc w:val="left"/>
      <w:pPr>
        <w:ind w:left="1012" w:hanging="432"/>
      </w:pPr>
      <w:rPr>
        <w:rFonts w:ascii="Times New Roman" w:eastAsia="Times New Roman" w:hAnsi="Times New Roman" w:cs="Times New Roman" w:hint="default"/>
        <w:w w:val="100"/>
        <w:sz w:val="24"/>
        <w:szCs w:val="24"/>
      </w:rPr>
    </w:lvl>
    <w:lvl w:ilvl="2">
      <w:start w:val="1"/>
      <w:numFmt w:val="decimal"/>
      <w:lvlText w:val="%1.%2.%3."/>
      <w:lvlJc w:val="left"/>
      <w:pPr>
        <w:ind w:left="1391" w:hanging="600"/>
      </w:pPr>
      <w:rPr>
        <w:rFonts w:ascii="Times New Roman" w:eastAsia="Times New Roman" w:hAnsi="Times New Roman" w:cs="Times New Roman" w:hint="default"/>
        <w:spacing w:val="-8"/>
        <w:w w:val="100"/>
        <w:sz w:val="24"/>
        <w:szCs w:val="24"/>
      </w:rPr>
    </w:lvl>
    <w:lvl w:ilvl="3">
      <w:numFmt w:val="bullet"/>
      <w:lvlText w:val="•"/>
      <w:lvlJc w:val="left"/>
      <w:pPr>
        <w:ind w:left="1440" w:hanging="600"/>
      </w:pPr>
      <w:rPr>
        <w:rFonts w:hint="default"/>
      </w:rPr>
    </w:lvl>
    <w:lvl w:ilvl="4">
      <w:numFmt w:val="bullet"/>
      <w:lvlText w:val="•"/>
      <w:lvlJc w:val="left"/>
      <w:pPr>
        <w:ind w:left="2622" w:hanging="600"/>
      </w:pPr>
      <w:rPr>
        <w:rFonts w:hint="default"/>
      </w:rPr>
    </w:lvl>
    <w:lvl w:ilvl="5">
      <w:numFmt w:val="bullet"/>
      <w:lvlText w:val="•"/>
      <w:lvlJc w:val="left"/>
      <w:pPr>
        <w:ind w:left="3805" w:hanging="600"/>
      </w:pPr>
      <w:rPr>
        <w:rFonts w:hint="default"/>
      </w:rPr>
    </w:lvl>
    <w:lvl w:ilvl="6">
      <w:numFmt w:val="bullet"/>
      <w:lvlText w:val="•"/>
      <w:lvlJc w:val="left"/>
      <w:pPr>
        <w:ind w:left="4988" w:hanging="600"/>
      </w:pPr>
      <w:rPr>
        <w:rFonts w:hint="default"/>
      </w:rPr>
    </w:lvl>
    <w:lvl w:ilvl="7">
      <w:numFmt w:val="bullet"/>
      <w:lvlText w:val="•"/>
      <w:lvlJc w:val="left"/>
      <w:pPr>
        <w:ind w:left="6171" w:hanging="600"/>
      </w:pPr>
      <w:rPr>
        <w:rFonts w:hint="default"/>
      </w:rPr>
    </w:lvl>
    <w:lvl w:ilvl="8">
      <w:numFmt w:val="bullet"/>
      <w:lvlText w:val="•"/>
      <w:lvlJc w:val="left"/>
      <w:pPr>
        <w:ind w:left="7354" w:hanging="600"/>
      </w:pPr>
      <w:rPr>
        <w:rFonts w:hint="default"/>
      </w:rPr>
    </w:lvl>
  </w:abstractNum>
  <w:abstractNum w:abstractNumId="17" w15:restartNumberingAfterBreak="0">
    <w:nsid w:val="30D0593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31216D2F"/>
    <w:multiLevelType w:val="multilevel"/>
    <w:tmpl w:val="8FD67EEC"/>
    <w:lvl w:ilvl="0">
      <w:start w:val="1"/>
      <w:numFmt w:val="decimal"/>
      <w:lvlText w:val="%1."/>
      <w:lvlJc w:val="left"/>
      <w:pPr>
        <w:ind w:left="580" w:hanging="360"/>
      </w:pPr>
      <w:rPr>
        <w:rFonts w:ascii="Times New Roman" w:eastAsia="Times New Roman" w:hAnsi="Times New Roman" w:cs="Times New Roman" w:hint="default"/>
        <w:spacing w:val="-1"/>
        <w:w w:val="100"/>
        <w:sz w:val="24"/>
        <w:szCs w:val="24"/>
      </w:rPr>
    </w:lvl>
    <w:lvl w:ilvl="1">
      <w:start w:val="1"/>
      <w:numFmt w:val="decimal"/>
      <w:lvlText w:val="%1.%2."/>
      <w:lvlJc w:val="left"/>
      <w:pPr>
        <w:ind w:left="1012" w:hanging="432"/>
      </w:pPr>
      <w:rPr>
        <w:rFonts w:ascii="Times New Roman" w:eastAsia="Times New Roman" w:hAnsi="Times New Roman" w:cs="Times New Roman" w:hint="default"/>
        <w:w w:val="100"/>
        <w:sz w:val="24"/>
        <w:szCs w:val="24"/>
      </w:rPr>
    </w:lvl>
    <w:lvl w:ilvl="2">
      <w:start w:val="1"/>
      <w:numFmt w:val="decimal"/>
      <w:lvlText w:val="%1.%2.%3."/>
      <w:lvlJc w:val="left"/>
      <w:pPr>
        <w:ind w:left="1391" w:hanging="600"/>
      </w:pPr>
      <w:rPr>
        <w:rFonts w:ascii="Times New Roman" w:eastAsia="Times New Roman" w:hAnsi="Times New Roman" w:cs="Times New Roman" w:hint="default"/>
        <w:spacing w:val="-8"/>
        <w:w w:val="100"/>
        <w:sz w:val="24"/>
        <w:szCs w:val="24"/>
      </w:rPr>
    </w:lvl>
    <w:lvl w:ilvl="3">
      <w:numFmt w:val="bullet"/>
      <w:lvlText w:val="•"/>
      <w:lvlJc w:val="left"/>
      <w:pPr>
        <w:ind w:left="1440" w:hanging="600"/>
      </w:pPr>
      <w:rPr>
        <w:rFonts w:hint="default"/>
      </w:rPr>
    </w:lvl>
    <w:lvl w:ilvl="4">
      <w:numFmt w:val="bullet"/>
      <w:lvlText w:val="•"/>
      <w:lvlJc w:val="left"/>
      <w:pPr>
        <w:ind w:left="2622" w:hanging="600"/>
      </w:pPr>
      <w:rPr>
        <w:rFonts w:hint="default"/>
      </w:rPr>
    </w:lvl>
    <w:lvl w:ilvl="5">
      <w:numFmt w:val="bullet"/>
      <w:lvlText w:val="•"/>
      <w:lvlJc w:val="left"/>
      <w:pPr>
        <w:ind w:left="3805" w:hanging="600"/>
      </w:pPr>
      <w:rPr>
        <w:rFonts w:hint="default"/>
      </w:rPr>
    </w:lvl>
    <w:lvl w:ilvl="6">
      <w:numFmt w:val="bullet"/>
      <w:lvlText w:val="•"/>
      <w:lvlJc w:val="left"/>
      <w:pPr>
        <w:ind w:left="4988" w:hanging="600"/>
      </w:pPr>
      <w:rPr>
        <w:rFonts w:hint="default"/>
      </w:rPr>
    </w:lvl>
    <w:lvl w:ilvl="7">
      <w:numFmt w:val="bullet"/>
      <w:lvlText w:val="•"/>
      <w:lvlJc w:val="left"/>
      <w:pPr>
        <w:ind w:left="6171" w:hanging="600"/>
      </w:pPr>
      <w:rPr>
        <w:rFonts w:hint="default"/>
      </w:rPr>
    </w:lvl>
    <w:lvl w:ilvl="8">
      <w:numFmt w:val="bullet"/>
      <w:lvlText w:val="•"/>
      <w:lvlJc w:val="left"/>
      <w:pPr>
        <w:ind w:left="7354" w:hanging="600"/>
      </w:pPr>
      <w:rPr>
        <w:rFonts w:hint="default"/>
      </w:rPr>
    </w:lvl>
  </w:abstractNum>
  <w:abstractNum w:abstractNumId="19" w15:restartNumberingAfterBreak="0">
    <w:nsid w:val="32651BF8"/>
    <w:multiLevelType w:val="hybridMultilevel"/>
    <w:tmpl w:val="0BECC38C"/>
    <w:lvl w:ilvl="0" w:tplc="C86A3FBA">
      <w:start w:val="1"/>
      <w:numFmt w:val="decimal"/>
      <w:pStyle w:val="ListNumb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3672F4"/>
    <w:multiLevelType w:val="multilevel"/>
    <w:tmpl w:val="AA04D9AE"/>
    <w:styleLink w:val="HeadingsNumbering"/>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Restart w:val="1"/>
      <w:lvlText w:val="%1.%2.%3"/>
      <w:lvlJc w:val="left"/>
      <w:pPr>
        <w:ind w:left="0" w:firstLine="0"/>
      </w:pPr>
      <w:rPr>
        <w:rFonts w:hint="default"/>
      </w:rPr>
    </w:lvl>
    <w:lvl w:ilvl="3">
      <w:start w:val="1"/>
      <w:numFmt w:val="decimal"/>
      <w:lvlRestart w:val="1"/>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21" w15:restartNumberingAfterBreak="0">
    <w:nsid w:val="36EF1F6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3B264F73"/>
    <w:multiLevelType w:val="multilevel"/>
    <w:tmpl w:val="AA04D9AE"/>
    <w:numStyleLink w:val="HeadingsNumbering"/>
  </w:abstractNum>
  <w:abstractNum w:abstractNumId="23" w15:restartNumberingAfterBreak="0">
    <w:nsid w:val="3EC66A5D"/>
    <w:multiLevelType w:val="hybridMultilevel"/>
    <w:tmpl w:val="8BACE408"/>
    <w:lvl w:ilvl="0" w:tplc="666A496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5894D42"/>
    <w:multiLevelType w:val="multilevel"/>
    <w:tmpl w:val="AA04D9AE"/>
    <w:numStyleLink w:val="HeadingsNumbering"/>
  </w:abstractNum>
  <w:abstractNum w:abstractNumId="25" w15:restartNumberingAfterBreak="0">
    <w:nsid w:val="48C43AB0"/>
    <w:multiLevelType w:val="hybridMultilevel"/>
    <w:tmpl w:val="6A942EA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9F390E"/>
    <w:multiLevelType w:val="multilevel"/>
    <w:tmpl w:val="AA04D9AE"/>
    <w:numStyleLink w:val="HeadingsNumbering"/>
  </w:abstractNum>
  <w:abstractNum w:abstractNumId="27" w15:restartNumberingAfterBreak="0">
    <w:nsid w:val="4F052B5B"/>
    <w:multiLevelType w:val="multilevel"/>
    <w:tmpl w:val="D3747FEA"/>
    <w:lvl w:ilvl="0">
      <w:start w:val="1"/>
      <w:numFmt w:val="decimal"/>
      <w:lvlText w:val="%1."/>
      <w:lvlJc w:val="left"/>
      <w:pPr>
        <w:ind w:left="580" w:hanging="360"/>
      </w:pPr>
      <w:rPr>
        <w:rFonts w:ascii="Times New Roman" w:eastAsia="Times New Roman" w:hAnsi="Times New Roman" w:cs="Times New Roman" w:hint="default"/>
        <w:spacing w:val="-1"/>
        <w:w w:val="100"/>
        <w:sz w:val="24"/>
        <w:szCs w:val="24"/>
      </w:rPr>
    </w:lvl>
    <w:lvl w:ilvl="1">
      <w:start w:val="1"/>
      <w:numFmt w:val="decimal"/>
      <w:lvlText w:val="%1.%2."/>
      <w:lvlJc w:val="left"/>
      <w:pPr>
        <w:ind w:left="1012" w:hanging="432"/>
      </w:pPr>
      <w:rPr>
        <w:rFonts w:ascii="Times New Roman" w:eastAsia="Times New Roman" w:hAnsi="Times New Roman" w:cs="Times New Roman" w:hint="default"/>
        <w:w w:val="100"/>
        <w:sz w:val="24"/>
        <w:szCs w:val="24"/>
      </w:rPr>
    </w:lvl>
    <w:lvl w:ilvl="2">
      <w:start w:val="1"/>
      <w:numFmt w:val="decimal"/>
      <w:lvlText w:val="%1.%2.%3."/>
      <w:lvlJc w:val="left"/>
      <w:pPr>
        <w:ind w:left="1391" w:hanging="600"/>
      </w:pPr>
      <w:rPr>
        <w:rFonts w:ascii="Times New Roman" w:eastAsia="Times New Roman" w:hAnsi="Times New Roman" w:cs="Times New Roman" w:hint="default"/>
        <w:spacing w:val="-8"/>
        <w:w w:val="100"/>
        <w:sz w:val="24"/>
        <w:szCs w:val="24"/>
      </w:rPr>
    </w:lvl>
    <w:lvl w:ilvl="3">
      <w:numFmt w:val="bullet"/>
      <w:lvlText w:val="•"/>
      <w:lvlJc w:val="left"/>
      <w:pPr>
        <w:ind w:left="1440" w:hanging="600"/>
      </w:pPr>
      <w:rPr>
        <w:rFonts w:hint="default"/>
      </w:rPr>
    </w:lvl>
    <w:lvl w:ilvl="4">
      <w:numFmt w:val="bullet"/>
      <w:lvlText w:val="•"/>
      <w:lvlJc w:val="left"/>
      <w:pPr>
        <w:ind w:left="2622" w:hanging="600"/>
      </w:pPr>
      <w:rPr>
        <w:rFonts w:hint="default"/>
      </w:rPr>
    </w:lvl>
    <w:lvl w:ilvl="5">
      <w:numFmt w:val="bullet"/>
      <w:lvlText w:val="•"/>
      <w:lvlJc w:val="left"/>
      <w:pPr>
        <w:ind w:left="3805" w:hanging="600"/>
      </w:pPr>
      <w:rPr>
        <w:rFonts w:hint="default"/>
      </w:rPr>
    </w:lvl>
    <w:lvl w:ilvl="6">
      <w:numFmt w:val="bullet"/>
      <w:lvlText w:val="•"/>
      <w:lvlJc w:val="left"/>
      <w:pPr>
        <w:ind w:left="4988" w:hanging="600"/>
      </w:pPr>
      <w:rPr>
        <w:rFonts w:hint="default"/>
      </w:rPr>
    </w:lvl>
    <w:lvl w:ilvl="7">
      <w:numFmt w:val="bullet"/>
      <w:lvlText w:val="•"/>
      <w:lvlJc w:val="left"/>
      <w:pPr>
        <w:ind w:left="6171" w:hanging="600"/>
      </w:pPr>
      <w:rPr>
        <w:rFonts w:hint="default"/>
      </w:rPr>
    </w:lvl>
    <w:lvl w:ilvl="8">
      <w:numFmt w:val="bullet"/>
      <w:lvlText w:val="•"/>
      <w:lvlJc w:val="left"/>
      <w:pPr>
        <w:ind w:left="7354" w:hanging="600"/>
      </w:pPr>
      <w:rPr>
        <w:rFonts w:hint="default"/>
      </w:rPr>
    </w:lvl>
  </w:abstractNum>
  <w:abstractNum w:abstractNumId="28" w15:restartNumberingAfterBreak="0">
    <w:nsid w:val="57466636"/>
    <w:multiLevelType w:val="hybridMultilevel"/>
    <w:tmpl w:val="B046E414"/>
    <w:lvl w:ilvl="0" w:tplc="AA8091A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052952"/>
    <w:multiLevelType w:val="multilevel"/>
    <w:tmpl w:val="AA04D9AE"/>
    <w:numStyleLink w:val="HeadingsNumbering"/>
  </w:abstractNum>
  <w:abstractNum w:abstractNumId="30" w15:restartNumberingAfterBreak="0">
    <w:nsid w:val="5C72483B"/>
    <w:multiLevelType w:val="hybridMultilevel"/>
    <w:tmpl w:val="6FD4A370"/>
    <w:lvl w:ilvl="0" w:tplc="AA8091A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1166317"/>
    <w:multiLevelType w:val="hybridMultilevel"/>
    <w:tmpl w:val="112623A6"/>
    <w:lvl w:ilvl="0" w:tplc="0A0A8162">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83366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374571969">
    <w:abstractNumId w:val="9"/>
  </w:num>
  <w:num w:numId="2" w16cid:durableId="626132696">
    <w:abstractNumId w:val="7"/>
  </w:num>
  <w:num w:numId="3" w16cid:durableId="1681396202">
    <w:abstractNumId w:val="6"/>
  </w:num>
  <w:num w:numId="4" w16cid:durableId="400912778">
    <w:abstractNumId w:val="5"/>
  </w:num>
  <w:num w:numId="5" w16cid:durableId="1911891563">
    <w:abstractNumId w:val="4"/>
  </w:num>
  <w:num w:numId="6" w16cid:durableId="1916435737">
    <w:abstractNumId w:val="8"/>
  </w:num>
  <w:num w:numId="7" w16cid:durableId="101848574">
    <w:abstractNumId w:val="3"/>
  </w:num>
  <w:num w:numId="8" w16cid:durableId="336276459">
    <w:abstractNumId w:val="2"/>
  </w:num>
  <w:num w:numId="9" w16cid:durableId="1132023243">
    <w:abstractNumId w:val="1"/>
  </w:num>
  <w:num w:numId="10" w16cid:durableId="1540823265">
    <w:abstractNumId w:val="0"/>
  </w:num>
  <w:num w:numId="11" w16cid:durableId="996494646">
    <w:abstractNumId w:val="32"/>
  </w:num>
  <w:num w:numId="12" w16cid:durableId="1818524809">
    <w:abstractNumId w:val="21"/>
  </w:num>
  <w:num w:numId="13" w16cid:durableId="133067541">
    <w:abstractNumId w:val="20"/>
  </w:num>
  <w:num w:numId="14" w16cid:durableId="1250309748">
    <w:abstractNumId w:val="26"/>
  </w:num>
  <w:num w:numId="15" w16cid:durableId="296885485">
    <w:abstractNumId w:val="12"/>
  </w:num>
  <w:num w:numId="16" w16cid:durableId="1521894195">
    <w:abstractNumId w:val="17"/>
  </w:num>
  <w:num w:numId="17" w16cid:durableId="1913081311">
    <w:abstractNumId w:val="12"/>
  </w:num>
  <w:num w:numId="18" w16cid:durableId="953563774">
    <w:abstractNumId w:val="12"/>
    <w:lvlOverride w:ilvl="0">
      <w:startOverride w:val="1"/>
    </w:lvlOverride>
  </w:num>
  <w:num w:numId="19" w16cid:durableId="338191945">
    <w:abstractNumId w:val="8"/>
    <w:lvlOverride w:ilvl="0">
      <w:startOverride w:val="1"/>
    </w:lvlOverride>
  </w:num>
  <w:num w:numId="20" w16cid:durableId="1759717606">
    <w:abstractNumId w:val="8"/>
    <w:lvlOverride w:ilvl="0">
      <w:startOverride w:val="1"/>
    </w:lvlOverride>
  </w:num>
  <w:num w:numId="21" w16cid:durableId="18821680">
    <w:abstractNumId w:val="22"/>
  </w:num>
  <w:num w:numId="22" w16cid:durableId="2064211502">
    <w:abstractNumId w:val="29"/>
  </w:num>
  <w:num w:numId="23" w16cid:durableId="1765418601">
    <w:abstractNumId w:val="10"/>
  </w:num>
  <w:num w:numId="24" w16cid:durableId="163279994">
    <w:abstractNumId w:val="8"/>
    <w:lvlOverride w:ilvl="0">
      <w:startOverride w:val="1"/>
    </w:lvlOverride>
  </w:num>
  <w:num w:numId="25" w16cid:durableId="458571150">
    <w:abstractNumId w:val="23"/>
  </w:num>
  <w:num w:numId="26" w16cid:durableId="735974851">
    <w:abstractNumId w:val="14"/>
  </w:num>
  <w:num w:numId="27" w16cid:durableId="722020052">
    <w:abstractNumId w:val="15"/>
  </w:num>
  <w:num w:numId="28" w16cid:durableId="56453677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872228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7019974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2211518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38524109">
    <w:abstractNumId w:val="24"/>
  </w:num>
  <w:num w:numId="33" w16cid:durableId="1974363147">
    <w:abstractNumId w:val="15"/>
    <w:lvlOverride w:ilvl="0">
      <w:startOverride w:val="2"/>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5174410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793013700">
    <w:abstractNumId w:val="19"/>
  </w:num>
  <w:num w:numId="36" w16cid:durableId="1722443563">
    <w:abstractNumId w:val="25"/>
  </w:num>
  <w:num w:numId="37" w16cid:durableId="419327903">
    <w:abstractNumId w:val="11"/>
  </w:num>
  <w:num w:numId="38" w16cid:durableId="1018698897">
    <w:abstractNumId w:val="18"/>
  </w:num>
  <w:num w:numId="39" w16cid:durableId="1616784959">
    <w:abstractNumId w:val="15"/>
    <w:lvlOverride w:ilvl="0">
      <w:startOverride w:val="1"/>
    </w:lvlOverride>
    <w:lvlOverride w:ilvl="1">
      <w:startOverride w:val="3"/>
    </w:lvlOverride>
  </w:num>
  <w:num w:numId="40" w16cid:durableId="242491591">
    <w:abstractNumId w:val="27"/>
  </w:num>
  <w:num w:numId="41" w16cid:durableId="1626887303">
    <w:abstractNumId w:val="16"/>
  </w:num>
  <w:num w:numId="42" w16cid:durableId="708185206">
    <w:abstractNumId w:val="13"/>
  </w:num>
  <w:num w:numId="43" w16cid:durableId="1095441064">
    <w:abstractNumId w:val="28"/>
  </w:num>
  <w:num w:numId="44" w16cid:durableId="1905944072">
    <w:abstractNumId w:val="31"/>
  </w:num>
  <w:num w:numId="45" w16cid:durableId="616451709">
    <w:abstractNumId w:val="30"/>
  </w:num>
  <w:num w:numId="46" w16cid:durableId="48188947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0075870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3274403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C5A"/>
    <w:rsid w:val="000016C5"/>
    <w:rsid w:val="000125FC"/>
    <w:rsid w:val="000142D4"/>
    <w:rsid w:val="00016C4F"/>
    <w:rsid w:val="000213C6"/>
    <w:rsid w:val="0002358E"/>
    <w:rsid w:val="000274A2"/>
    <w:rsid w:val="00037A98"/>
    <w:rsid w:val="00042DCE"/>
    <w:rsid w:val="00043B58"/>
    <w:rsid w:val="00045F69"/>
    <w:rsid w:val="00050E73"/>
    <w:rsid w:val="00055E66"/>
    <w:rsid w:val="00057514"/>
    <w:rsid w:val="00064B54"/>
    <w:rsid w:val="0006756B"/>
    <w:rsid w:val="00070D3F"/>
    <w:rsid w:val="00075AD3"/>
    <w:rsid w:val="0008188E"/>
    <w:rsid w:val="00082690"/>
    <w:rsid w:val="00086423"/>
    <w:rsid w:val="00087AEC"/>
    <w:rsid w:val="000923E2"/>
    <w:rsid w:val="00096283"/>
    <w:rsid w:val="000A3510"/>
    <w:rsid w:val="000A4A1D"/>
    <w:rsid w:val="000A53F9"/>
    <w:rsid w:val="000B49A2"/>
    <w:rsid w:val="000B5E80"/>
    <w:rsid w:val="000C7EEC"/>
    <w:rsid w:val="000D09E6"/>
    <w:rsid w:val="000D2346"/>
    <w:rsid w:val="000D4E2C"/>
    <w:rsid w:val="000D58C8"/>
    <w:rsid w:val="000D5D31"/>
    <w:rsid w:val="000E163A"/>
    <w:rsid w:val="000E3BEC"/>
    <w:rsid w:val="000E5F70"/>
    <w:rsid w:val="000F1250"/>
    <w:rsid w:val="000F1E2D"/>
    <w:rsid w:val="00101D24"/>
    <w:rsid w:val="001122A0"/>
    <w:rsid w:val="00112C1C"/>
    <w:rsid w:val="0011373D"/>
    <w:rsid w:val="00113D4A"/>
    <w:rsid w:val="001230B7"/>
    <w:rsid w:val="001270A1"/>
    <w:rsid w:val="001310D7"/>
    <w:rsid w:val="00133C8B"/>
    <w:rsid w:val="00142426"/>
    <w:rsid w:val="00143338"/>
    <w:rsid w:val="001549C1"/>
    <w:rsid w:val="00155114"/>
    <w:rsid w:val="00165BAE"/>
    <w:rsid w:val="00171084"/>
    <w:rsid w:val="0017418E"/>
    <w:rsid w:val="00187306"/>
    <w:rsid w:val="001957C6"/>
    <w:rsid w:val="001A02B5"/>
    <w:rsid w:val="001A1261"/>
    <w:rsid w:val="001A4969"/>
    <w:rsid w:val="001B485A"/>
    <w:rsid w:val="001B7FFB"/>
    <w:rsid w:val="001C0F0B"/>
    <w:rsid w:val="001C11DA"/>
    <w:rsid w:val="001C1E00"/>
    <w:rsid w:val="001C2260"/>
    <w:rsid w:val="001D5CD1"/>
    <w:rsid w:val="001F125B"/>
    <w:rsid w:val="001F5385"/>
    <w:rsid w:val="00200349"/>
    <w:rsid w:val="002152C4"/>
    <w:rsid w:val="002154AB"/>
    <w:rsid w:val="00215DB4"/>
    <w:rsid w:val="0022507B"/>
    <w:rsid w:val="0022643B"/>
    <w:rsid w:val="002366EF"/>
    <w:rsid w:val="002433BD"/>
    <w:rsid w:val="002476D1"/>
    <w:rsid w:val="002558F3"/>
    <w:rsid w:val="002565DC"/>
    <w:rsid w:val="00257278"/>
    <w:rsid w:val="0026184A"/>
    <w:rsid w:val="0026574B"/>
    <w:rsid w:val="00266502"/>
    <w:rsid w:val="002666FF"/>
    <w:rsid w:val="00270611"/>
    <w:rsid w:val="00287B22"/>
    <w:rsid w:val="00297E2C"/>
    <w:rsid w:val="002A0B80"/>
    <w:rsid w:val="002A1F75"/>
    <w:rsid w:val="002B1246"/>
    <w:rsid w:val="002B60E3"/>
    <w:rsid w:val="002C72FD"/>
    <w:rsid w:val="002D34C6"/>
    <w:rsid w:val="002D7574"/>
    <w:rsid w:val="002D7830"/>
    <w:rsid w:val="002E56E5"/>
    <w:rsid w:val="002F26E5"/>
    <w:rsid w:val="002F2F2F"/>
    <w:rsid w:val="002F7086"/>
    <w:rsid w:val="00300431"/>
    <w:rsid w:val="0031000B"/>
    <w:rsid w:val="003167A4"/>
    <w:rsid w:val="00320E95"/>
    <w:rsid w:val="00321D76"/>
    <w:rsid w:val="00323855"/>
    <w:rsid w:val="003246D0"/>
    <w:rsid w:val="00324E0F"/>
    <w:rsid w:val="003265AD"/>
    <w:rsid w:val="003355B1"/>
    <w:rsid w:val="00337AF2"/>
    <w:rsid w:val="003402D3"/>
    <w:rsid w:val="00341435"/>
    <w:rsid w:val="00346F63"/>
    <w:rsid w:val="003534C8"/>
    <w:rsid w:val="0037193F"/>
    <w:rsid w:val="003A0A31"/>
    <w:rsid w:val="003A6CA1"/>
    <w:rsid w:val="003A721D"/>
    <w:rsid w:val="003C2D1E"/>
    <w:rsid w:val="003D0DAF"/>
    <w:rsid w:val="003D1DA4"/>
    <w:rsid w:val="003E24ED"/>
    <w:rsid w:val="003E2BC7"/>
    <w:rsid w:val="003E2C18"/>
    <w:rsid w:val="003E3F92"/>
    <w:rsid w:val="003F2C5F"/>
    <w:rsid w:val="003F62D8"/>
    <w:rsid w:val="003F71FC"/>
    <w:rsid w:val="00410CF9"/>
    <w:rsid w:val="00411F23"/>
    <w:rsid w:val="004133C4"/>
    <w:rsid w:val="00416CEA"/>
    <w:rsid w:val="00423B16"/>
    <w:rsid w:val="00424EE5"/>
    <w:rsid w:val="00430481"/>
    <w:rsid w:val="00430EAB"/>
    <w:rsid w:val="004444D2"/>
    <w:rsid w:val="004500B5"/>
    <w:rsid w:val="004514E6"/>
    <w:rsid w:val="00457958"/>
    <w:rsid w:val="004614DC"/>
    <w:rsid w:val="004759CD"/>
    <w:rsid w:val="00490C55"/>
    <w:rsid w:val="004A349C"/>
    <w:rsid w:val="004B7E0B"/>
    <w:rsid w:val="004D2893"/>
    <w:rsid w:val="004D510E"/>
    <w:rsid w:val="004E7A60"/>
    <w:rsid w:val="004F0885"/>
    <w:rsid w:val="004F10F1"/>
    <w:rsid w:val="004F4072"/>
    <w:rsid w:val="004F59C6"/>
    <w:rsid w:val="004F7755"/>
    <w:rsid w:val="00500F14"/>
    <w:rsid w:val="005119C9"/>
    <w:rsid w:val="00515D60"/>
    <w:rsid w:val="0051782B"/>
    <w:rsid w:val="0052482D"/>
    <w:rsid w:val="00525684"/>
    <w:rsid w:val="00527596"/>
    <w:rsid w:val="00530454"/>
    <w:rsid w:val="00530B6C"/>
    <w:rsid w:val="005312BB"/>
    <w:rsid w:val="005320E6"/>
    <w:rsid w:val="00541F4E"/>
    <w:rsid w:val="00545BEA"/>
    <w:rsid w:val="005510AD"/>
    <w:rsid w:val="0055236A"/>
    <w:rsid w:val="0055636E"/>
    <w:rsid w:val="0056509E"/>
    <w:rsid w:val="00573EB4"/>
    <w:rsid w:val="00580B3E"/>
    <w:rsid w:val="00590076"/>
    <w:rsid w:val="00590CF9"/>
    <w:rsid w:val="0059178C"/>
    <w:rsid w:val="00592798"/>
    <w:rsid w:val="00592C10"/>
    <w:rsid w:val="005965B0"/>
    <w:rsid w:val="005B6396"/>
    <w:rsid w:val="005C3C52"/>
    <w:rsid w:val="005C721F"/>
    <w:rsid w:val="005D3502"/>
    <w:rsid w:val="005D7300"/>
    <w:rsid w:val="005E080D"/>
    <w:rsid w:val="005E3686"/>
    <w:rsid w:val="005E4B78"/>
    <w:rsid w:val="005F6AAD"/>
    <w:rsid w:val="00607009"/>
    <w:rsid w:val="006210AB"/>
    <w:rsid w:val="00621BB7"/>
    <w:rsid w:val="0062286D"/>
    <w:rsid w:val="00622BEC"/>
    <w:rsid w:val="00630DA0"/>
    <w:rsid w:val="0063296D"/>
    <w:rsid w:val="00633694"/>
    <w:rsid w:val="00633B88"/>
    <w:rsid w:val="006358CD"/>
    <w:rsid w:val="0064146D"/>
    <w:rsid w:val="00641CB3"/>
    <w:rsid w:val="00645430"/>
    <w:rsid w:val="00651A97"/>
    <w:rsid w:val="006571C0"/>
    <w:rsid w:val="00665690"/>
    <w:rsid w:val="00665BA2"/>
    <w:rsid w:val="00675268"/>
    <w:rsid w:val="006765AA"/>
    <w:rsid w:val="00677732"/>
    <w:rsid w:val="00691D1E"/>
    <w:rsid w:val="006931C0"/>
    <w:rsid w:val="00694526"/>
    <w:rsid w:val="006A038E"/>
    <w:rsid w:val="006A4E46"/>
    <w:rsid w:val="006A4F32"/>
    <w:rsid w:val="006A7005"/>
    <w:rsid w:val="006B2E29"/>
    <w:rsid w:val="006B53ED"/>
    <w:rsid w:val="006D2ED8"/>
    <w:rsid w:val="006D645F"/>
    <w:rsid w:val="006E78AE"/>
    <w:rsid w:val="006F5BDD"/>
    <w:rsid w:val="006F735C"/>
    <w:rsid w:val="006F7A66"/>
    <w:rsid w:val="00711848"/>
    <w:rsid w:val="00712B1D"/>
    <w:rsid w:val="0072237B"/>
    <w:rsid w:val="00730958"/>
    <w:rsid w:val="00731DFC"/>
    <w:rsid w:val="007341FF"/>
    <w:rsid w:val="00736860"/>
    <w:rsid w:val="0075391F"/>
    <w:rsid w:val="00754BA6"/>
    <w:rsid w:val="007625CF"/>
    <w:rsid w:val="00774617"/>
    <w:rsid w:val="0077738D"/>
    <w:rsid w:val="00777BDA"/>
    <w:rsid w:val="0079018D"/>
    <w:rsid w:val="00794C64"/>
    <w:rsid w:val="007A4A72"/>
    <w:rsid w:val="007A7B5C"/>
    <w:rsid w:val="007B2AB2"/>
    <w:rsid w:val="007C3122"/>
    <w:rsid w:val="007C3E0C"/>
    <w:rsid w:val="007E25EE"/>
    <w:rsid w:val="007E4516"/>
    <w:rsid w:val="00801A4F"/>
    <w:rsid w:val="00801EF5"/>
    <w:rsid w:val="00805CEB"/>
    <w:rsid w:val="00811041"/>
    <w:rsid w:val="0081280E"/>
    <w:rsid w:val="00812FF3"/>
    <w:rsid w:val="00823462"/>
    <w:rsid w:val="00825577"/>
    <w:rsid w:val="00830387"/>
    <w:rsid w:val="00832F0A"/>
    <w:rsid w:val="00834C94"/>
    <w:rsid w:val="0083789B"/>
    <w:rsid w:val="00842046"/>
    <w:rsid w:val="008439F6"/>
    <w:rsid w:val="00844072"/>
    <w:rsid w:val="008516FC"/>
    <w:rsid w:val="00852C50"/>
    <w:rsid w:val="00854F2A"/>
    <w:rsid w:val="008570D6"/>
    <w:rsid w:val="0086063D"/>
    <w:rsid w:val="008611E5"/>
    <w:rsid w:val="00866F00"/>
    <w:rsid w:val="00873A12"/>
    <w:rsid w:val="00876BCF"/>
    <w:rsid w:val="00880AE3"/>
    <w:rsid w:val="00882F97"/>
    <w:rsid w:val="00890C89"/>
    <w:rsid w:val="0089686E"/>
    <w:rsid w:val="008A77BE"/>
    <w:rsid w:val="008B4285"/>
    <w:rsid w:val="008B4D74"/>
    <w:rsid w:val="008B594C"/>
    <w:rsid w:val="008C2AAD"/>
    <w:rsid w:val="008C6719"/>
    <w:rsid w:val="008C67E8"/>
    <w:rsid w:val="008C6A11"/>
    <w:rsid w:val="008C6E61"/>
    <w:rsid w:val="008D6F51"/>
    <w:rsid w:val="008E5479"/>
    <w:rsid w:val="008E57F9"/>
    <w:rsid w:val="008E5E8C"/>
    <w:rsid w:val="008E6618"/>
    <w:rsid w:val="008E7ECE"/>
    <w:rsid w:val="008F3A0E"/>
    <w:rsid w:val="008F4718"/>
    <w:rsid w:val="008F714C"/>
    <w:rsid w:val="009001A5"/>
    <w:rsid w:val="00916667"/>
    <w:rsid w:val="00917870"/>
    <w:rsid w:val="0091796D"/>
    <w:rsid w:val="0092147C"/>
    <w:rsid w:val="00927F81"/>
    <w:rsid w:val="009308D9"/>
    <w:rsid w:val="009315BA"/>
    <w:rsid w:val="0093569A"/>
    <w:rsid w:val="00937348"/>
    <w:rsid w:val="00937665"/>
    <w:rsid w:val="00937BCA"/>
    <w:rsid w:val="00950315"/>
    <w:rsid w:val="00951F2B"/>
    <w:rsid w:val="009538C7"/>
    <w:rsid w:val="0096067E"/>
    <w:rsid w:val="00962231"/>
    <w:rsid w:val="009763B6"/>
    <w:rsid w:val="00976D5C"/>
    <w:rsid w:val="00984994"/>
    <w:rsid w:val="00992E6E"/>
    <w:rsid w:val="00993797"/>
    <w:rsid w:val="00993C5A"/>
    <w:rsid w:val="009A1205"/>
    <w:rsid w:val="009A27F2"/>
    <w:rsid w:val="009C012C"/>
    <w:rsid w:val="009C1344"/>
    <w:rsid w:val="009D05C6"/>
    <w:rsid w:val="009D6833"/>
    <w:rsid w:val="009E0D70"/>
    <w:rsid w:val="009E4D7D"/>
    <w:rsid w:val="009F746D"/>
    <w:rsid w:val="00A0051B"/>
    <w:rsid w:val="00A054A4"/>
    <w:rsid w:val="00A15AE4"/>
    <w:rsid w:val="00A16B75"/>
    <w:rsid w:val="00A30906"/>
    <w:rsid w:val="00A31AAB"/>
    <w:rsid w:val="00A326A5"/>
    <w:rsid w:val="00A32925"/>
    <w:rsid w:val="00A3337F"/>
    <w:rsid w:val="00A343DE"/>
    <w:rsid w:val="00A360BF"/>
    <w:rsid w:val="00A47485"/>
    <w:rsid w:val="00A66903"/>
    <w:rsid w:val="00A70327"/>
    <w:rsid w:val="00A711C3"/>
    <w:rsid w:val="00A7478A"/>
    <w:rsid w:val="00A932A3"/>
    <w:rsid w:val="00A96290"/>
    <w:rsid w:val="00A97181"/>
    <w:rsid w:val="00A97FCE"/>
    <w:rsid w:val="00AA3BD8"/>
    <w:rsid w:val="00AA4229"/>
    <w:rsid w:val="00AB1D9F"/>
    <w:rsid w:val="00AB2ABC"/>
    <w:rsid w:val="00AC1098"/>
    <w:rsid w:val="00AC1D84"/>
    <w:rsid w:val="00AC6061"/>
    <w:rsid w:val="00AE2BB0"/>
    <w:rsid w:val="00AE49EE"/>
    <w:rsid w:val="00AF30CD"/>
    <w:rsid w:val="00AF4443"/>
    <w:rsid w:val="00AF66EA"/>
    <w:rsid w:val="00B13FAA"/>
    <w:rsid w:val="00B161E3"/>
    <w:rsid w:val="00B444FE"/>
    <w:rsid w:val="00B446BA"/>
    <w:rsid w:val="00B558FB"/>
    <w:rsid w:val="00B631A7"/>
    <w:rsid w:val="00B6556A"/>
    <w:rsid w:val="00B734D1"/>
    <w:rsid w:val="00B84461"/>
    <w:rsid w:val="00B96F7C"/>
    <w:rsid w:val="00BA00F4"/>
    <w:rsid w:val="00BA15F6"/>
    <w:rsid w:val="00BA50DA"/>
    <w:rsid w:val="00BC12F2"/>
    <w:rsid w:val="00BC2C14"/>
    <w:rsid w:val="00BC5483"/>
    <w:rsid w:val="00BD6AD0"/>
    <w:rsid w:val="00BE057F"/>
    <w:rsid w:val="00BE0AB0"/>
    <w:rsid w:val="00BE0C78"/>
    <w:rsid w:val="00BE32B4"/>
    <w:rsid w:val="00C003E7"/>
    <w:rsid w:val="00C02079"/>
    <w:rsid w:val="00C02EA1"/>
    <w:rsid w:val="00C03A45"/>
    <w:rsid w:val="00C10F5D"/>
    <w:rsid w:val="00C12370"/>
    <w:rsid w:val="00C169ED"/>
    <w:rsid w:val="00C2176A"/>
    <w:rsid w:val="00C25621"/>
    <w:rsid w:val="00C30B4D"/>
    <w:rsid w:val="00C40DC6"/>
    <w:rsid w:val="00C45B61"/>
    <w:rsid w:val="00C52DF9"/>
    <w:rsid w:val="00C6012C"/>
    <w:rsid w:val="00C639F8"/>
    <w:rsid w:val="00C6491F"/>
    <w:rsid w:val="00C745A7"/>
    <w:rsid w:val="00C77285"/>
    <w:rsid w:val="00C81718"/>
    <w:rsid w:val="00C86CCB"/>
    <w:rsid w:val="00C93543"/>
    <w:rsid w:val="00CA01EF"/>
    <w:rsid w:val="00CA0FB5"/>
    <w:rsid w:val="00CA48FF"/>
    <w:rsid w:val="00CA65E0"/>
    <w:rsid w:val="00CB0AED"/>
    <w:rsid w:val="00CC76F5"/>
    <w:rsid w:val="00CD2A64"/>
    <w:rsid w:val="00CD472D"/>
    <w:rsid w:val="00CD691D"/>
    <w:rsid w:val="00CD7822"/>
    <w:rsid w:val="00CE22B3"/>
    <w:rsid w:val="00CE75C9"/>
    <w:rsid w:val="00CF3F38"/>
    <w:rsid w:val="00CF708C"/>
    <w:rsid w:val="00D016E1"/>
    <w:rsid w:val="00D03B5F"/>
    <w:rsid w:val="00D067ED"/>
    <w:rsid w:val="00D24DCE"/>
    <w:rsid w:val="00D27A79"/>
    <w:rsid w:val="00D36713"/>
    <w:rsid w:val="00D414DE"/>
    <w:rsid w:val="00D43E9D"/>
    <w:rsid w:val="00D46A85"/>
    <w:rsid w:val="00D50356"/>
    <w:rsid w:val="00D52AB5"/>
    <w:rsid w:val="00D6256D"/>
    <w:rsid w:val="00D743BD"/>
    <w:rsid w:val="00D90E08"/>
    <w:rsid w:val="00D95F0A"/>
    <w:rsid w:val="00D976B6"/>
    <w:rsid w:val="00DA0218"/>
    <w:rsid w:val="00DA076C"/>
    <w:rsid w:val="00DA2BA1"/>
    <w:rsid w:val="00DA67BE"/>
    <w:rsid w:val="00DB1AC9"/>
    <w:rsid w:val="00DB3892"/>
    <w:rsid w:val="00DC2D9B"/>
    <w:rsid w:val="00DC32CB"/>
    <w:rsid w:val="00DC3DB2"/>
    <w:rsid w:val="00DC3EF5"/>
    <w:rsid w:val="00DD1503"/>
    <w:rsid w:val="00DD45DD"/>
    <w:rsid w:val="00DE2516"/>
    <w:rsid w:val="00DE2737"/>
    <w:rsid w:val="00DE6E05"/>
    <w:rsid w:val="00DF5FDD"/>
    <w:rsid w:val="00E02E68"/>
    <w:rsid w:val="00E03521"/>
    <w:rsid w:val="00E06C97"/>
    <w:rsid w:val="00E10AC3"/>
    <w:rsid w:val="00E13C86"/>
    <w:rsid w:val="00E165A7"/>
    <w:rsid w:val="00E16716"/>
    <w:rsid w:val="00E167ED"/>
    <w:rsid w:val="00E213E6"/>
    <w:rsid w:val="00E22713"/>
    <w:rsid w:val="00E23A1B"/>
    <w:rsid w:val="00E23B61"/>
    <w:rsid w:val="00E2422F"/>
    <w:rsid w:val="00E27409"/>
    <w:rsid w:val="00E3650D"/>
    <w:rsid w:val="00E40132"/>
    <w:rsid w:val="00E429BF"/>
    <w:rsid w:val="00E45B1E"/>
    <w:rsid w:val="00E45F0E"/>
    <w:rsid w:val="00E52350"/>
    <w:rsid w:val="00E61BC7"/>
    <w:rsid w:val="00E62A19"/>
    <w:rsid w:val="00E6651C"/>
    <w:rsid w:val="00E73C67"/>
    <w:rsid w:val="00E85645"/>
    <w:rsid w:val="00EA03DD"/>
    <w:rsid w:val="00EB5063"/>
    <w:rsid w:val="00EC5A05"/>
    <w:rsid w:val="00ED01F2"/>
    <w:rsid w:val="00ED4F76"/>
    <w:rsid w:val="00ED5A04"/>
    <w:rsid w:val="00EE2291"/>
    <w:rsid w:val="00EE3CD1"/>
    <w:rsid w:val="00EE4BC0"/>
    <w:rsid w:val="00EE5BCB"/>
    <w:rsid w:val="00EE7C5C"/>
    <w:rsid w:val="00EE7EE9"/>
    <w:rsid w:val="00F0735D"/>
    <w:rsid w:val="00F07906"/>
    <w:rsid w:val="00F118B6"/>
    <w:rsid w:val="00F119DD"/>
    <w:rsid w:val="00F2426C"/>
    <w:rsid w:val="00F257D0"/>
    <w:rsid w:val="00F32FAE"/>
    <w:rsid w:val="00F33056"/>
    <w:rsid w:val="00F361B2"/>
    <w:rsid w:val="00F366A2"/>
    <w:rsid w:val="00F37B48"/>
    <w:rsid w:val="00F37ECF"/>
    <w:rsid w:val="00F41F8E"/>
    <w:rsid w:val="00F436F5"/>
    <w:rsid w:val="00F452C1"/>
    <w:rsid w:val="00F45682"/>
    <w:rsid w:val="00F5209E"/>
    <w:rsid w:val="00F87AA6"/>
    <w:rsid w:val="00F95E1B"/>
    <w:rsid w:val="00FA65DB"/>
    <w:rsid w:val="00FC1595"/>
    <w:rsid w:val="00FC3939"/>
    <w:rsid w:val="00FC4930"/>
    <w:rsid w:val="00FE3CD9"/>
    <w:rsid w:val="00FE5CE6"/>
    <w:rsid w:val="00FF1157"/>
    <w:rsid w:val="00FF1E29"/>
    <w:rsid w:val="00FF2E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46F647"/>
  <w15:docId w15:val="{03576193-A45A-3D4C-900A-6CF78D440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locked="1" w:semiHidden="1" w:uiPriority="9"/>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nhideWhenUsed="1"/>
    <w:lsdException w:name="index heading" w:locked="1" w:semiHidden="1" w:unhideWhenUsed="1"/>
    <w:lsdException w:name="caption" w:semiHidden="1" w:uiPriority="35" w:unhideWhenUsed="1" w:qFormat="1"/>
    <w:lsdException w:name="table of figures"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locked="1" w:semiHidden="1" w:unhideWhenUsed="1"/>
    <w:lsdException w:name="toa heading" w:locked="1"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locked="1" w:semiHidden="1" w:unhideWhenUsed="1"/>
    <w:lsdException w:name="List Bullet 4" w:locked="1" w:semiHidden="1" w:unhideWhenUsed="1"/>
    <w:lsdException w:name="List Bullet 5" w:locked="1" w:semiHidden="1" w:unhideWhenUsed="1"/>
    <w:lsdException w:name="List Number 2"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10" w:qFormat="1"/>
    <w:lsdException w:name="Closing" w:locked="1" w:semiHidden="1" w:unhideWhenUsed="1"/>
    <w:lsdException w:name="Signature" w:locked="1" w:semiHidden="1" w:unhideWhenUsed="1"/>
    <w:lsdException w:name="Default Paragraph Font" w:semiHidden="1" w:uiPriority="1" w:unhideWhenUsed="1"/>
    <w:lsdException w:name="Body Text" w:semiHidden="1" w:unhideWhenUsed="1"/>
    <w:lsdException w:name="Body Text Indent" w:locked="1"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locked="1" w:semiHidden="1" w:unhideWhenUsed="1"/>
    <w:lsdException w:name="Subtitle" w:locked="1" w:semiHidden="1" w:uiPriority="11" w:unhideWhenUs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nhideWhenUsed="1"/>
    <w:lsdException w:name="FollowedHyperlink" w:semiHidden="1" w:unhideWhenUsed="1"/>
    <w:lsdException w:name="Strong" w:locked="1" w:uiPriority="22"/>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1" w:semiHidden="1"/>
    <w:lsdException w:name="No Spacing"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1"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unhideWhenUsed/>
    <w:qFormat/>
    <w:rsid w:val="00DF5FDD"/>
  </w:style>
  <w:style w:type="paragraph" w:styleId="Heading1">
    <w:name w:val="heading 1"/>
    <w:next w:val="BodyText"/>
    <w:link w:val="Heading1Char"/>
    <w:uiPriority w:val="9"/>
    <w:qFormat/>
    <w:rsid w:val="00A30906"/>
    <w:pPr>
      <w:keepNext/>
      <w:keepLines/>
      <w:pageBreakBefore/>
      <w:numPr>
        <w:numId w:val="27"/>
      </w:numPr>
      <w:pBdr>
        <w:bottom w:val="single" w:sz="4" w:space="1" w:color="000000" w:themeColor="text1"/>
      </w:pBdr>
      <w:outlineLvl w:val="0"/>
    </w:pPr>
    <w:rPr>
      <w:rFonts w:eastAsiaTheme="majorEastAsia" w:cstheme="majorBidi"/>
      <w:b/>
      <w:bCs/>
      <w:sz w:val="36"/>
      <w:szCs w:val="28"/>
    </w:rPr>
  </w:style>
  <w:style w:type="paragraph" w:styleId="Heading2">
    <w:name w:val="heading 2"/>
    <w:basedOn w:val="Heading1"/>
    <w:next w:val="BodyText"/>
    <w:link w:val="Heading2Char"/>
    <w:uiPriority w:val="9"/>
    <w:qFormat/>
    <w:rsid w:val="00A30906"/>
    <w:pPr>
      <w:pageBreakBefore w:val="0"/>
      <w:numPr>
        <w:ilvl w:val="1"/>
      </w:numPr>
      <w:pBdr>
        <w:bottom w:val="none" w:sz="0" w:space="0" w:color="auto"/>
      </w:pBdr>
      <w:ind w:left="720" w:hanging="720"/>
      <w:outlineLvl w:val="1"/>
    </w:pPr>
    <w:rPr>
      <w:sz w:val="28"/>
      <w:szCs w:val="26"/>
    </w:rPr>
  </w:style>
  <w:style w:type="paragraph" w:styleId="Heading3">
    <w:name w:val="heading 3"/>
    <w:basedOn w:val="Heading2"/>
    <w:next w:val="BodyText"/>
    <w:link w:val="Heading3Char"/>
    <w:uiPriority w:val="9"/>
    <w:qFormat/>
    <w:rsid w:val="00A30906"/>
    <w:pPr>
      <w:numPr>
        <w:ilvl w:val="2"/>
      </w:numPr>
      <w:ind w:left="720" w:hanging="720"/>
      <w:outlineLvl w:val="2"/>
    </w:pPr>
    <w:rPr>
      <w:bCs w:val="0"/>
      <w:sz w:val="24"/>
    </w:rPr>
  </w:style>
  <w:style w:type="paragraph" w:styleId="Heading4">
    <w:name w:val="heading 4"/>
    <w:basedOn w:val="Heading3"/>
    <w:next w:val="BodyText"/>
    <w:link w:val="Heading4Char"/>
    <w:uiPriority w:val="9"/>
    <w:qFormat/>
    <w:rsid w:val="00A30906"/>
    <w:pPr>
      <w:numPr>
        <w:ilvl w:val="3"/>
      </w:numPr>
      <w:ind w:left="792" w:hanging="792"/>
      <w:outlineLvl w:val="3"/>
    </w:pPr>
    <w:rPr>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0906"/>
    <w:rPr>
      <w:rFonts w:eastAsiaTheme="majorEastAsia" w:cstheme="majorBidi"/>
      <w:b/>
      <w:bCs/>
      <w:sz w:val="36"/>
      <w:szCs w:val="28"/>
    </w:rPr>
  </w:style>
  <w:style w:type="character" w:customStyle="1" w:styleId="Heading2Char">
    <w:name w:val="Heading 2 Char"/>
    <w:basedOn w:val="DefaultParagraphFont"/>
    <w:link w:val="Heading2"/>
    <w:uiPriority w:val="9"/>
    <w:rsid w:val="00A30906"/>
    <w:rPr>
      <w:rFonts w:eastAsiaTheme="majorEastAsia" w:cstheme="majorBidi"/>
      <w:b/>
      <w:bCs/>
      <w:sz w:val="28"/>
      <w:szCs w:val="26"/>
    </w:rPr>
  </w:style>
  <w:style w:type="paragraph" w:styleId="ListParagraph">
    <w:name w:val="List Paragraph"/>
    <w:basedOn w:val="Normal"/>
    <w:uiPriority w:val="1"/>
    <w:unhideWhenUsed/>
    <w:qFormat/>
    <w:locked/>
    <w:rsid w:val="008C2AAD"/>
    <w:pPr>
      <w:ind w:left="720"/>
      <w:contextualSpacing/>
    </w:pPr>
  </w:style>
  <w:style w:type="paragraph" w:styleId="BodyText">
    <w:name w:val="Body Text"/>
    <w:link w:val="BodyTextChar"/>
    <w:uiPriority w:val="99"/>
    <w:rsid w:val="00C77285"/>
    <w:pPr>
      <w:suppressAutoHyphens/>
      <w:spacing w:after="360" w:line="360" w:lineRule="auto"/>
    </w:pPr>
    <w:rPr>
      <w:rFonts w:ascii="Times New Roman" w:hAnsi="Times New Roman"/>
    </w:rPr>
  </w:style>
  <w:style w:type="character" w:customStyle="1" w:styleId="BodyTextChar">
    <w:name w:val="Body Text Char"/>
    <w:basedOn w:val="DefaultParagraphFont"/>
    <w:link w:val="BodyText"/>
    <w:uiPriority w:val="99"/>
    <w:rsid w:val="00677732"/>
    <w:rPr>
      <w:rFonts w:ascii="Times New Roman" w:hAnsi="Times New Roman"/>
      <w:color w:val="000000" w:themeColor="text1"/>
    </w:rPr>
  </w:style>
  <w:style w:type="character" w:customStyle="1" w:styleId="Heading3Char">
    <w:name w:val="Heading 3 Char"/>
    <w:basedOn w:val="DefaultParagraphFont"/>
    <w:link w:val="Heading3"/>
    <w:uiPriority w:val="9"/>
    <w:rsid w:val="00A30906"/>
    <w:rPr>
      <w:rFonts w:eastAsiaTheme="majorEastAsia" w:cstheme="majorBidi"/>
      <w:b/>
      <w:sz w:val="24"/>
      <w:szCs w:val="26"/>
    </w:rPr>
  </w:style>
  <w:style w:type="character" w:customStyle="1" w:styleId="Heading4Char">
    <w:name w:val="Heading 4 Char"/>
    <w:basedOn w:val="DefaultParagraphFont"/>
    <w:link w:val="Heading4"/>
    <w:uiPriority w:val="9"/>
    <w:rsid w:val="00A30906"/>
    <w:rPr>
      <w:rFonts w:eastAsiaTheme="majorEastAsia" w:cstheme="majorBidi"/>
      <w:b/>
      <w:bCs/>
      <w:i/>
      <w:iCs/>
      <w:sz w:val="24"/>
      <w:szCs w:val="26"/>
    </w:rPr>
  </w:style>
  <w:style w:type="paragraph" w:styleId="TOC1">
    <w:name w:val="toc 1"/>
    <w:next w:val="TOC2"/>
    <w:uiPriority w:val="39"/>
    <w:rsid w:val="00C77285"/>
    <w:pPr>
      <w:spacing w:after="100"/>
    </w:pPr>
    <w:rPr>
      <w:b/>
    </w:rPr>
  </w:style>
  <w:style w:type="paragraph" w:styleId="TOC2">
    <w:name w:val="toc 2"/>
    <w:next w:val="TOC3"/>
    <w:uiPriority w:val="39"/>
    <w:rsid w:val="00C77285"/>
    <w:pPr>
      <w:spacing w:after="100"/>
      <w:ind w:left="220"/>
    </w:pPr>
    <w:rPr>
      <w:sz w:val="20"/>
    </w:rPr>
  </w:style>
  <w:style w:type="paragraph" w:styleId="TOC3">
    <w:name w:val="toc 3"/>
    <w:next w:val="TOC2"/>
    <w:uiPriority w:val="39"/>
    <w:rsid w:val="00C77285"/>
    <w:pPr>
      <w:spacing w:after="100"/>
      <w:ind w:left="440"/>
    </w:pPr>
    <w:rPr>
      <w:sz w:val="20"/>
    </w:rPr>
  </w:style>
  <w:style w:type="paragraph" w:styleId="TOC4">
    <w:name w:val="toc 4"/>
    <w:next w:val="TOC3"/>
    <w:uiPriority w:val="39"/>
    <w:rsid w:val="00C77285"/>
    <w:pPr>
      <w:spacing w:after="100"/>
      <w:ind w:left="660"/>
    </w:pPr>
    <w:rPr>
      <w:sz w:val="20"/>
    </w:rPr>
  </w:style>
  <w:style w:type="paragraph" w:styleId="TOCHeading">
    <w:name w:val="TOC Heading"/>
    <w:next w:val="TOC1"/>
    <w:uiPriority w:val="39"/>
    <w:qFormat/>
    <w:rsid w:val="000213C6"/>
    <w:pPr>
      <w:pBdr>
        <w:bottom w:val="single" w:sz="4" w:space="1" w:color="000000" w:themeColor="text1"/>
      </w:pBdr>
      <w:spacing w:after="240"/>
    </w:pPr>
    <w:rPr>
      <w:rFonts w:eastAsiaTheme="majorEastAsia" w:cstheme="majorBidi"/>
      <w:b/>
      <w:bCs/>
      <w:sz w:val="36"/>
      <w:szCs w:val="28"/>
    </w:rPr>
  </w:style>
  <w:style w:type="paragraph" w:styleId="FootnoteText">
    <w:name w:val="footnote text"/>
    <w:link w:val="FootnoteTextChar"/>
    <w:uiPriority w:val="99"/>
    <w:rsid w:val="00321D76"/>
    <w:pPr>
      <w:tabs>
        <w:tab w:val="left" w:pos="432"/>
      </w:tabs>
      <w:spacing w:after="80" w:line="240" w:lineRule="auto"/>
      <w:ind w:left="864" w:hanging="432"/>
    </w:pPr>
    <w:rPr>
      <w:rFonts w:ascii="Times New Roman" w:hAnsi="Times New Roman"/>
      <w:sz w:val="18"/>
      <w:szCs w:val="20"/>
    </w:rPr>
  </w:style>
  <w:style w:type="character" w:customStyle="1" w:styleId="FootnoteTextChar">
    <w:name w:val="Footnote Text Char"/>
    <w:basedOn w:val="DefaultParagraphFont"/>
    <w:link w:val="FootnoteText"/>
    <w:uiPriority w:val="99"/>
    <w:rsid w:val="003534C8"/>
    <w:rPr>
      <w:rFonts w:ascii="Times New Roman" w:hAnsi="Times New Roman"/>
      <w:sz w:val="18"/>
      <w:szCs w:val="20"/>
    </w:rPr>
  </w:style>
  <w:style w:type="character" w:styleId="FootnoteReference">
    <w:name w:val="footnote reference"/>
    <w:basedOn w:val="DefaultParagraphFont"/>
    <w:uiPriority w:val="99"/>
    <w:rsid w:val="00C77285"/>
    <w:rPr>
      <w:rFonts w:ascii="Arial" w:hAnsi="Arial"/>
      <w:sz w:val="20"/>
      <w:vertAlign w:val="superscript"/>
    </w:rPr>
  </w:style>
  <w:style w:type="character" w:styleId="Hyperlink">
    <w:name w:val="Hyperlink"/>
    <w:basedOn w:val="DefaultParagraphFont"/>
    <w:uiPriority w:val="99"/>
    <w:rsid w:val="00950315"/>
    <w:rPr>
      <w:rFonts w:ascii="Times New Roman" w:hAnsi="Times New Roman"/>
      <w:color w:val="000000" w:themeColor="text1"/>
      <w:sz w:val="20"/>
      <w:u w:val="single"/>
    </w:rPr>
  </w:style>
  <w:style w:type="paragraph" w:styleId="ListBullet">
    <w:name w:val="List Bullet"/>
    <w:uiPriority w:val="99"/>
    <w:rsid w:val="00C81718"/>
    <w:pPr>
      <w:numPr>
        <w:numId w:val="1"/>
      </w:numPr>
      <w:spacing w:before="120" w:after="360"/>
      <w:ind w:left="864" w:hanging="432"/>
      <w:contextualSpacing/>
    </w:pPr>
    <w:rPr>
      <w:rFonts w:ascii="Times New Roman" w:eastAsiaTheme="majorEastAsia" w:hAnsi="Times New Roman" w:cstheme="majorBidi"/>
      <w:iCs/>
    </w:rPr>
  </w:style>
  <w:style w:type="paragraph" w:styleId="ListBullet2">
    <w:name w:val="List Bullet 2"/>
    <w:next w:val="BodyText"/>
    <w:uiPriority w:val="99"/>
    <w:qFormat/>
    <w:rsid w:val="00A3337F"/>
    <w:pPr>
      <w:numPr>
        <w:numId w:val="2"/>
      </w:numPr>
      <w:spacing w:before="120" w:after="120"/>
      <w:ind w:left="1152" w:hanging="432"/>
      <w:contextualSpacing/>
    </w:pPr>
    <w:rPr>
      <w:rFonts w:ascii="Times New Roman" w:hAnsi="Times New Roman"/>
    </w:rPr>
  </w:style>
  <w:style w:type="paragraph" w:styleId="ListNumber">
    <w:name w:val="List Number"/>
    <w:uiPriority w:val="99"/>
    <w:rsid w:val="00FC3939"/>
    <w:pPr>
      <w:numPr>
        <w:numId w:val="35"/>
      </w:numPr>
      <w:spacing w:before="120" w:after="360"/>
      <w:contextualSpacing/>
    </w:pPr>
    <w:rPr>
      <w:rFonts w:ascii="Times New Roman" w:hAnsi="Times New Roman"/>
    </w:rPr>
  </w:style>
  <w:style w:type="character" w:styleId="PageNumber">
    <w:name w:val="page number"/>
    <w:basedOn w:val="DefaultParagraphFont"/>
    <w:uiPriority w:val="99"/>
    <w:rsid w:val="00BA00F4"/>
    <w:rPr>
      <w:rFonts w:ascii="Arial" w:hAnsi="Arial"/>
      <w:sz w:val="16"/>
    </w:rPr>
  </w:style>
  <w:style w:type="paragraph" w:customStyle="1" w:styleId="ListNumberBeforeBullet2">
    <w:name w:val="List Number Before Bullet 2"/>
    <w:qFormat/>
    <w:rsid w:val="00FC3939"/>
    <w:pPr>
      <w:numPr>
        <w:numId w:val="26"/>
      </w:numPr>
      <w:spacing w:before="120" w:after="0"/>
      <w:contextualSpacing/>
    </w:pPr>
    <w:rPr>
      <w:rFonts w:ascii="Times New Roman" w:eastAsiaTheme="majorEastAsia" w:hAnsi="Times New Roman" w:cstheme="majorBidi"/>
      <w:bCs/>
      <w:szCs w:val="28"/>
    </w:rPr>
  </w:style>
  <w:style w:type="paragraph" w:customStyle="1" w:styleId="AA">
    <w:name w:val="A&amp;A"/>
    <w:qFormat/>
    <w:rsid w:val="00ED01F2"/>
    <w:pPr>
      <w:spacing w:after="80" w:line="240" w:lineRule="auto"/>
      <w:ind w:left="1440" w:hanging="1440"/>
    </w:pPr>
    <w:rPr>
      <w:rFonts w:eastAsiaTheme="majorEastAsia" w:cstheme="majorBidi"/>
      <w:bCs/>
      <w:szCs w:val="28"/>
    </w:rPr>
  </w:style>
  <w:style w:type="paragraph" w:customStyle="1" w:styleId="BibliographyReferences">
    <w:name w:val="Bibliography.References"/>
    <w:qFormat/>
    <w:rsid w:val="00BA00F4"/>
    <w:pPr>
      <w:ind w:left="360" w:hanging="360"/>
    </w:pPr>
    <w:rPr>
      <w:rFonts w:ascii="Times New Roman" w:eastAsiaTheme="majorEastAsia" w:hAnsi="Times New Roman" w:cstheme="majorBidi"/>
      <w:bCs/>
      <w:szCs w:val="28"/>
    </w:rPr>
  </w:style>
  <w:style w:type="paragraph" w:customStyle="1" w:styleId="BodyBeforeList">
    <w:name w:val="Body Before List"/>
    <w:next w:val="BodyText"/>
    <w:qFormat/>
    <w:rsid w:val="000B49A2"/>
    <w:pPr>
      <w:spacing w:after="120" w:line="360" w:lineRule="auto"/>
    </w:pPr>
    <w:rPr>
      <w:rFonts w:ascii="Times New Roman" w:eastAsiaTheme="majorEastAsia" w:hAnsi="Times New Roman" w:cstheme="majorBidi"/>
      <w:bCs/>
      <w:szCs w:val="28"/>
    </w:rPr>
  </w:style>
  <w:style w:type="paragraph" w:customStyle="1" w:styleId="Bullet1BeforeBullet2">
    <w:name w:val="Bullet 1 Before Bullet 2"/>
    <w:next w:val="ListBullet2"/>
    <w:qFormat/>
    <w:rsid w:val="008E7ECE"/>
    <w:pPr>
      <w:numPr>
        <w:numId w:val="23"/>
      </w:numPr>
      <w:spacing w:before="120" w:after="120"/>
      <w:ind w:left="864" w:hanging="432"/>
      <w:contextualSpacing/>
    </w:pPr>
    <w:rPr>
      <w:rFonts w:ascii="Times New Roman" w:eastAsiaTheme="majorEastAsia" w:hAnsi="Times New Roman" w:cstheme="majorBidi"/>
      <w:bCs/>
      <w:szCs w:val="28"/>
    </w:rPr>
  </w:style>
  <w:style w:type="paragraph" w:styleId="Caption">
    <w:name w:val="caption"/>
    <w:uiPriority w:val="35"/>
    <w:unhideWhenUsed/>
    <w:qFormat/>
    <w:rsid w:val="00430481"/>
    <w:pPr>
      <w:keepNext/>
      <w:spacing w:line="240" w:lineRule="auto"/>
    </w:pPr>
    <w:rPr>
      <w:bCs/>
      <w:sz w:val="20"/>
      <w:szCs w:val="18"/>
    </w:rPr>
  </w:style>
  <w:style w:type="paragraph" w:customStyle="1" w:styleId="Heading1NoNumber">
    <w:name w:val="Heading 1 No Number"/>
    <w:next w:val="BodyText"/>
    <w:qFormat/>
    <w:rsid w:val="00E16716"/>
    <w:pPr>
      <w:pBdr>
        <w:bottom w:val="single" w:sz="4" w:space="1" w:color="000000" w:themeColor="text1"/>
      </w:pBdr>
      <w:spacing w:before="480"/>
    </w:pPr>
    <w:rPr>
      <w:rFonts w:eastAsiaTheme="majorEastAsia" w:cstheme="majorBidi"/>
      <w:b/>
      <w:bCs/>
      <w:sz w:val="36"/>
      <w:szCs w:val="28"/>
    </w:rPr>
  </w:style>
  <w:style w:type="paragraph" w:customStyle="1" w:styleId="Heading2NoNumber">
    <w:name w:val="Heading 2 No Number"/>
    <w:next w:val="BodyText"/>
    <w:qFormat/>
    <w:rsid w:val="00C81718"/>
    <w:rPr>
      <w:rFonts w:eastAsiaTheme="majorEastAsia" w:cstheme="majorBidi"/>
      <w:b/>
      <w:bCs/>
      <w:sz w:val="28"/>
      <w:szCs w:val="28"/>
    </w:rPr>
  </w:style>
  <w:style w:type="paragraph" w:customStyle="1" w:styleId="SourceforFigureTablePhoto">
    <w:name w:val="Source for Figure.Table.Photo"/>
    <w:qFormat/>
    <w:rsid w:val="003D1DA4"/>
    <w:pPr>
      <w:keepNext/>
      <w:spacing w:line="240" w:lineRule="auto"/>
    </w:pPr>
    <w:rPr>
      <w:rFonts w:ascii="Times New Roman" w:eastAsiaTheme="majorEastAsia" w:hAnsi="Times New Roman" w:cstheme="majorBidi"/>
      <w:bCs/>
      <w:i/>
      <w:sz w:val="16"/>
      <w:szCs w:val="28"/>
    </w:rPr>
  </w:style>
  <w:style w:type="paragraph" w:customStyle="1" w:styleId="TitleforFigureTablePhoto">
    <w:name w:val="Title for Figure.Table.Photo"/>
    <w:next w:val="BodyText"/>
    <w:qFormat/>
    <w:rsid w:val="003D1DA4"/>
    <w:pPr>
      <w:keepNext/>
    </w:pPr>
    <w:rPr>
      <w:rFonts w:eastAsiaTheme="majorEastAsia" w:cstheme="majorBidi"/>
      <w:b/>
      <w:bCs/>
      <w:sz w:val="20"/>
      <w:szCs w:val="28"/>
    </w:rPr>
  </w:style>
  <w:style w:type="table" w:customStyle="1" w:styleId="TableHeaderRow">
    <w:name w:val="Table Header Row"/>
    <w:basedOn w:val="TableGrid"/>
    <w:uiPriority w:val="99"/>
    <w:rsid w:val="002E56E5"/>
    <w:tblPr/>
    <w:tcPr>
      <w:shd w:val="clear" w:color="auto" w:fill="FFFFFF" w:themeFill="background1"/>
    </w:tcPr>
  </w:style>
  <w:style w:type="paragraph" w:customStyle="1" w:styleId="TableText">
    <w:name w:val="Table Text"/>
    <w:next w:val="BodyText"/>
    <w:qFormat/>
    <w:rsid w:val="002A0B80"/>
    <w:pPr>
      <w:spacing w:before="40" w:after="40" w:line="240" w:lineRule="auto"/>
      <w:jc w:val="center"/>
    </w:pPr>
    <w:rPr>
      <w:rFonts w:eastAsiaTheme="majorEastAsia" w:cstheme="majorBidi"/>
      <w:bCs/>
      <w:sz w:val="18"/>
      <w:szCs w:val="28"/>
    </w:rPr>
  </w:style>
  <w:style w:type="table" w:styleId="TableGrid">
    <w:name w:val="Table Grid"/>
    <w:basedOn w:val="TableNormal"/>
    <w:uiPriority w:val="39"/>
    <w:rsid w:val="002E56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HeadingsNumbering">
    <w:name w:val="Headings Numbering"/>
    <w:uiPriority w:val="99"/>
    <w:locked/>
    <w:rsid w:val="00DE2516"/>
    <w:pPr>
      <w:numPr>
        <w:numId w:val="13"/>
      </w:numPr>
    </w:pPr>
  </w:style>
  <w:style w:type="paragraph" w:styleId="Header">
    <w:name w:val="header"/>
    <w:basedOn w:val="Normal"/>
    <w:link w:val="HeaderChar"/>
    <w:uiPriority w:val="99"/>
    <w:unhideWhenUsed/>
    <w:rsid w:val="00423B16"/>
    <w:pPr>
      <w:tabs>
        <w:tab w:val="center" w:pos="4680"/>
        <w:tab w:val="right" w:pos="9360"/>
      </w:tabs>
      <w:spacing w:after="0" w:line="240" w:lineRule="auto"/>
    </w:pPr>
    <w:rPr>
      <w:rFonts w:ascii="Helvetica" w:eastAsiaTheme="minorEastAsia" w:hAnsi="Helvetica"/>
    </w:rPr>
  </w:style>
  <w:style w:type="character" w:customStyle="1" w:styleId="HeaderChar">
    <w:name w:val="Header Char"/>
    <w:basedOn w:val="DefaultParagraphFont"/>
    <w:link w:val="Header"/>
    <w:uiPriority w:val="99"/>
    <w:rsid w:val="00423B16"/>
    <w:rPr>
      <w:rFonts w:ascii="Helvetica" w:eastAsiaTheme="minorEastAsia" w:hAnsi="Helvetica"/>
      <w:color w:val="000000" w:themeColor="text1"/>
    </w:rPr>
  </w:style>
  <w:style w:type="character" w:styleId="Strong">
    <w:name w:val="Strong"/>
    <w:basedOn w:val="DefaultParagraphFont"/>
    <w:uiPriority w:val="22"/>
    <w:semiHidden/>
    <w:unhideWhenUsed/>
    <w:locked/>
    <w:rsid w:val="00423B16"/>
    <w:rPr>
      <w:b/>
      <w:bCs/>
    </w:rPr>
  </w:style>
  <w:style w:type="paragraph" w:styleId="Footer">
    <w:name w:val="footer"/>
    <w:basedOn w:val="Normal"/>
    <w:link w:val="FooterChar"/>
    <w:uiPriority w:val="99"/>
    <w:rsid w:val="00423B16"/>
    <w:pPr>
      <w:tabs>
        <w:tab w:val="center" w:pos="4680"/>
        <w:tab w:val="right" w:pos="9360"/>
      </w:tabs>
      <w:spacing w:after="0" w:line="240" w:lineRule="auto"/>
    </w:pPr>
    <w:rPr>
      <w:rFonts w:ascii="Helvetica" w:eastAsiaTheme="minorEastAsia" w:hAnsi="Helvetica"/>
    </w:rPr>
  </w:style>
  <w:style w:type="character" w:customStyle="1" w:styleId="FooterChar">
    <w:name w:val="Footer Char"/>
    <w:basedOn w:val="DefaultParagraphFont"/>
    <w:link w:val="Footer"/>
    <w:uiPriority w:val="99"/>
    <w:rsid w:val="0011373D"/>
    <w:rPr>
      <w:rFonts w:ascii="Helvetica" w:eastAsiaTheme="minorEastAsia" w:hAnsi="Helvetica"/>
    </w:rPr>
  </w:style>
  <w:style w:type="paragraph" w:styleId="TableofFigures">
    <w:name w:val="table of figures"/>
    <w:next w:val="BodyText"/>
    <w:uiPriority w:val="99"/>
    <w:rsid w:val="00530B6C"/>
    <w:pPr>
      <w:spacing w:after="0"/>
      <w:ind w:left="720" w:hanging="720"/>
    </w:pPr>
    <w:rPr>
      <w:rFonts w:eastAsiaTheme="minorEastAsia"/>
    </w:rPr>
  </w:style>
  <w:style w:type="paragraph" w:styleId="BalloonText">
    <w:name w:val="Balloon Text"/>
    <w:basedOn w:val="Normal"/>
    <w:link w:val="BalloonTextChar"/>
    <w:uiPriority w:val="99"/>
    <w:semiHidden/>
    <w:unhideWhenUsed/>
    <w:locked/>
    <w:rsid w:val="00423B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3B16"/>
    <w:rPr>
      <w:rFonts w:ascii="Tahoma" w:hAnsi="Tahoma" w:cs="Tahoma"/>
      <w:color w:val="000000" w:themeColor="text1"/>
      <w:sz w:val="16"/>
      <w:szCs w:val="16"/>
    </w:rPr>
  </w:style>
  <w:style w:type="paragraph" w:customStyle="1" w:styleId="Heading3NoNumber">
    <w:name w:val="Heading 3 No Number"/>
    <w:next w:val="BodyText"/>
    <w:qFormat/>
    <w:rsid w:val="000B49A2"/>
    <w:rPr>
      <w:b/>
      <w:sz w:val="24"/>
    </w:rPr>
  </w:style>
  <w:style w:type="paragraph" w:customStyle="1" w:styleId="TableHeader">
    <w:name w:val="Table Header"/>
    <w:next w:val="TableText"/>
    <w:qFormat/>
    <w:rsid w:val="002A0B80"/>
    <w:pPr>
      <w:jc w:val="center"/>
    </w:pPr>
    <w:rPr>
      <w:rFonts w:eastAsiaTheme="majorEastAsia" w:cstheme="majorBidi"/>
      <w:b/>
      <w:bCs/>
      <w:sz w:val="20"/>
      <w:szCs w:val="28"/>
    </w:rPr>
  </w:style>
  <w:style w:type="paragraph" w:customStyle="1" w:styleId="CaptionforFigureTablePhoto">
    <w:name w:val="Caption for Figure.Table.Photo"/>
    <w:next w:val="BodyText"/>
    <w:qFormat/>
    <w:rsid w:val="003D1DA4"/>
    <w:pPr>
      <w:keepNext/>
    </w:pPr>
    <w:rPr>
      <w:rFonts w:eastAsiaTheme="majorEastAsia" w:cstheme="majorBidi"/>
      <w:bCs/>
      <w:sz w:val="20"/>
      <w:szCs w:val="28"/>
    </w:rPr>
  </w:style>
  <w:style w:type="character" w:styleId="PlaceholderText">
    <w:name w:val="Placeholder Text"/>
    <w:basedOn w:val="DefaultParagraphFont"/>
    <w:uiPriority w:val="99"/>
    <w:semiHidden/>
    <w:locked/>
    <w:rsid w:val="003E24ED"/>
    <w:rPr>
      <w:color w:val="808080"/>
    </w:rPr>
  </w:style>
  <w:style w:type="paragraph" w:styleId="TOC5">
    <w:name w:val="toc 5"/>
    <w:basedOn w:val="Normal"/>
    <w:next w:val="Normal"/>
    <w:autoRedefine/>
    <w:uiPriority w:val="39"/>
    <w:semiHidden/>
    <w:unhideWhenUsed/>
    <w:locked/>
    <w:rsid w:val="005E080D"/>
    <w:pPr>
      <w:spacing w:after="100"/>
      <w:ind w:left="880"/>
    </w:pPr>
  </w:style>
  <w:style w:type="paragraph" w:styleId="TOAHeading">
    <w:name w:val="toa heading"/>
    <w:basedOn w:val="Normal"/>
    <w:next w:val="Normal"/>
    <w:uiPriority w:val="99"/>
    <w:semiHidden/>
    <w:unhideWhenUsed/>
    <w:locked/>
    <w:rsid w:val="00950315"/>
    <w:pPr>
      <w:spacing w:before="120"/>
    </w:pPr>
    <w:rPr>
      <w:rFonts w:eastAsiaTheme="majorEastAsia" w:cstheme="majorBidi"/>
      <w:bCs/>
      <w:szCs w:val="24"/>
    </w:rPr>
  </w:style>
  <w:style w:type="paragraph" w:styleId="TableofAuthorities">
    <w:name w:val="table of authorities"/>
    <w:next w:val="TOC1"/>
    <w:rsid w:val="00320E95"/>
    <w:pPr>
      <w:tabs>
        <w:tab w:val="left" w:pos="432"/>
      </w:tabs>
      <w:spacing w:after="0"/>
      <w:ind w:left="220" w:hanging="220"/>
    </w:pPr>
  </w:style>
  <w:style w:type="paragraph" w:styleId="ListNumber2">
    <w:name w:val="List Number 2"/>
    <w:basedOn w:val="Normal"/>
    <w:uiPriority w:val="1"/>
    <w:semiHidden/>
    <w:locked/>
    <w:rsid w:val="001A1261"/>
    <w:pPr>
      <w:numPr>
        <w:numId w:val="7"/>
      </w:numPr>
      <w:contextualSpacing/>
    </w:pPr>
  </w:style>
  <w:style w:type="character" w:styleId="LineNumber">
    <w:name w:val="line number"/>
    <w:basedOn w:val="DefaultParagraphFont"/>
    <w:uiPriority w:val="99"/>
    <w:semiHidden/>
    <w:unhideWhenUsed/>
    <w:rsid w:val="00A360BF"/>
  </w:style>
  <w:style w:type="paragraph" w:customStyle="1" w:styleId="TitlePgReportName">
    <w:name w:val="Title Pg Report Name"/>
    <w:link w:val="TitlePgReportNameChar"/>
    <w:uiPriority w:val="1"/>
    <w:qFormat/>
    <w:rsid w:val="00951F2B"/>
    <w:pPr>
      <w:jc w:val="center"/>
    </w:pPr>
    <w:rPr>
      <w:rFonts w:eastAsiaTheme="minorEastAsia" w:cs="Arial"/>
      <w:b/>
      <w:sz w:val="36"/>
      <w:szCs w:val="36"/>
    </w:rPr>
  </w:style>
  <w:style w:type="paragraph" w:customStyle="1" w:styleId="TitlePgFinalDraft">
    <w:name w:val="Title Pg Final/Draft"/>
    <w:link w:val="TitlePgFinalDraftChar"/>
    <w:uiPriority w:val="1"/>
    <w:qFormat/>
    <w:rsid w:val="00951F2B"/>
    <w:pPr>
      <w:jc w:val="center"/>
    </w:pPr>
    <w:rPr>
      <w:b/>
      <w:i/>
      <w:sz w:val="20"/>
      <w:szCs w:val="20"/>
    </w:rPr>
  </w:style>
  <w:style w:type="character" w:customStyle="1" w:styleId="TitlePgReportNameChar">
    <w:name w:val="Title Pg Report Name Char"/>
    <w:basedOn w:val="DefaultParagraphFont"/>
    <w:link w:val="TitlePgReportName"/>
    <w:uiPriority w:val="1"/>
    <w:rsid w:val="00951F2B"/>
    <w:rPr>
      <w:rFonts w:eastAsiaTheme="minorEastAsia" w:cs="Arial"/>
      <w:b/>
      <w:sz w:val="36"/>
      <w:szCs w:val="36"/>
    </w:rPr>
  </w:style>
  <w:style w:type="paragraph" w:customStyle="1" w:styleId="TitlePgPreparedForBy">
    <w:name w:val="Title Pg Prepared For/By"/>
    <w:link w:val="TitlePgPreparedForByChar"/>
    <w:uiPriority w:val="1"/>
    <w:qFormat/>
    <w:rsid w:val="00951F2B"/>
    <w:pPr>
      <w:spacing w:after="120"/>
      <w:jc w:val="center"/>
    </w:pPr>
  </w:style>
  <w:style w:type="character" w:customStyle="1" w:styleId="TitlePgFinalDraftChar">
    <w:name w:val="Title Pg Final/Draft Char"/>
    <w:basedOn w:val="DefaultParagraphFont"/>
    <w:link w:val="TitlePgFinalDraft"/>
    <w:uiPriority w:val="1"/>
    <w:rsid w:val="00951F2B"/>
    <w:rPr>
      <w:b/>
      <w:i/>
      <w:sz w:val="20"/>
      <w:szCs w:val="20"/>
    </w:rPr>
  </w:style>
  <w:style w:type="paragraph" w:customStyle="1" w:styleId="TitlePgOrganizationName">
    <w:name w:val="Title Pg Organization Name"/>
    <w:link w:val="TitlePgOrganizationNameChar"/>
    <w:uiPriority w:val="1"/>
    <w:qFormat/>
    <w:rsid w:val="00951F2B"/>
    <w:pPr>
      <w:jc w:val="center"/>
    </w:pPr>
    <w:rPr>
      <w:b/>
    </w:rPr>
  </w:style>
  <w:style w:type="character" w:customStyle="1" w:styleId="TitlePgPreparedForByChar">
    <w:name w:val="Title Pg Prepared For/By Char"/>
    <w:basedOn w:val="DefaultParagraphFont"/>
    <w:link w:val="TitlePgPreparedForBy"/>
    <w:uiPriority w:val="1"/>
    <w:rsid w:val="00951F2B"/>
  </w:style>
  <w:style w:type="paragraph" w:customStyle="1" w:styleId="TitlePgNamesTitles">
    <w:name w:val="Title Pg Names/Titles"/>
    <w:link w:val="TitlePgNamesTitlesChar"/>
    <w:uiPriority w:val="1"/>
    <w:qFormat/>
    <w:rsid w:val="00057514"/>
    <w:pPr>
      <w:spacing w:before="120" w:after="0"/>
      <w:jc w:val="center"/>
    </w:pPr>
    <w:rPr>
      <w:sz w:val="20"/>
      <w:szCs w:val="20"/>
    </w:rPr>
  </w:style>
  <w:style w:type="character" w:customStyle="1" w:styleId="TitlePgOrganizationNameChar">
    <w:name w:val="Title Pg Organization Name Char"/>
    <w:basedOn w:val="DefaultParagraphFont"/>
    <w:link w:val="TitlePgOrganizationName"/>
    <w:uiPriority w:val="1"/>
    <w:rsid w:val="00951F2B"/>
    <w:rPr>
      <w:b/>
    </w:rPr>
  </w:style>
  <w:style w:type="paragraph" w:customStyle="1" w:styleId="TitlePgLocation">
    <w:name w:val="Title Pg Location"/>
    <w:link w:val="TitlePgLocationChar"/>
    <w:uiPriority w:val="1"/>
    <w:qFormat/>
    <w:rsid w:val="00057514"/>
    <w:pPr>
      <w:jc w:val="center"/>
    </w:pPr>
    <w:rPr>
      <w:sz w:val="20"/>
    </w:rPr>
  </w:style>
  <w:style w:type="character" w:customStyle="1" w:styleId="TitlePgNamesTitlesChar">
    <w:name w:val="Title Pg Names/Titles Char"/>
    <w:basedOn w:val="DefaultParagraphFont"/>
    <w:link w:val="TitlePgNamesTitles"/>
    <w:uiPriority w:val="1"/>
    <w:rsid w:val="00057514"/>
    <w:rPr>
      <w:sz w:val="20"/>
      <w:szCs w:val="20"/>
    </w:rPr>
  </w:style>
  <w:style w:type="paragraph" w:customStyle="1" w:styleId="TitlePgReportContractDate">
    <w:name w:val="Title Pg Report/Contract/Date"/>
    <w:link w:val="TitlePgReportContractDateChar"/>
    <w:uiPriority w:val="1"/>
    <w:qFormat/>
    <w:rsid w:val="00951F2B"/>
    <w:pPr>
      <w:tabs>
        <w:tab w:val="center" w:pos="4680"/>
        <w:tab w:val="right" w:pos="9360"/>
      </w:tabs>
      <w:spacing w:after="0" w:line="240" w:lineRule="auto"/>
    </w:pPr>
    <w:rPr>
      <w:sz w:val="18"/>
      <w:szCs w:val="20"/>
    </w:rPr>
  </w:style>
  <w:style w:type="character" w:customStyle="1" w:styleId="TitlePgLocationChar">
    <w:name w:val="Title Pg Location Char"/>
    <w:basedOn w:val="DefaultParagraphFont"/>
    <w:link w:val="TitlePgLocation"/>
    <w:uiPriority w:val="1"/>
    <w:rsid w:val="00057514"/>
    <w:rPr>
      <w:sz w:val="20"/>
    </w:rPr>
  </w:style>
  <w:style w:type="character" w:customStyle="1" w:styleId="TitlePgReportContractDateChar">
    <w:name w:val="Title Pg Report/Contract/Date Char"/>
    <w:basedOn w:val="DefaultParagraphFont"/>
    <w:link w:val="TitlePgReportContractDate"/>
    <w:uiPriority w:val="1"/>
    <w:rsid w:val="00951F2B"/>
    <w:rPr>
      <w:sz w:val="18"/>
      <w:szCs w:val="20"/>
    </w:rPr>
  </w:style>
  <w:style w:type="paragraph" w:styleId="NormalWeb">
    <w:name w:val="Normal (Web)"/>
    <w:basedOn w:val="Normal"/>
    <w:uiPriority w:val="99"/>
    <w:semiHidden/>
    <w:unhideWhenUsed/>
    <w:locked/>
    <w:rsid w:val="005E3686"/>
    <w:pPr>
      <w:spacing w:before="100" w:beforeAutospacing="1" w:after="100" w:afterAutospacing="1" w:line="240" w:lineRule="auto"/>
    </w:pPr>
    <w:rPr>
      <w:rFonts w:ascii="Times New Roman" w:eastAsiaTheme="minorEastAsia" w:hAnsi="Times New Roman" w:cs="Times New Roman"/>
      <w:color w:val="auto"/>
      <w:sz w:val="24"/>
      <w:szCs w:val="24"/>
    </w:rPr>
  </w:style>
  <w:style w:type="character" w:styleId="CommentReference">
    <w:name w:val="annotation reference"/>
    <w:basedOn w:val="DefaultParagraphFont"/>
    <w:uiPriority w:val="99"/>
    <w:semiHidden/>
    <w:unhideWhenUsed/>
    <w:locked/>
    <w:rsid w:val="00641CB3"/>
    <w:rPr>
      <w:sz w:val="16"/>
      <w:szCs w:val="16"/>
    </w:rPr>
  </w:style>
  <w:style w:type="paragraph" w:styleId="CommentText">
    <w:name w:val="annotation text"/>
    <w:basedOn w:val="Normal"/>
    <w:link w:val="CommentTextChar"/>
    <w:uiPriority w:val="99"/>
    <w:unhideWhenUsed/>
    <w:locked/>
    <w:rsid w:val="00641CB3"/>
    <w:pPr>
      <w:spacing w:after="160" w:line="240" w:lineRule="auto"/>
    </w:pPr>
    <w:rPr>
      <w:rFonts w:asciiTheme="minorHAnsi" w:hAnsiTheme="minorHAnsi"/>
      <w:color w:val="auto"/>
      <w:sz w:val="20"/>
      <w:szCs w:val="20"/>
    </w:rPr>
  </w:style>
  <w:style w:type="character" w:customStyle="1" w:styleId="CommentTextChar">
    <w:name w:val="Comment Text Char"/>
    <w:basedOn w:val="DefaultParagraphFont"/>
    <w:link w:val="CommentText"/>
    <w:uiPriority w:val="99"/>
    <w:rsid w:val="00641CB3"/>
    <w:rPr>
      <w:rFonts w:asciiTheme="minorHAnsi" w:hAnsiTheme="minorHAnsi"/>
      <w:color w:val="auto"/>
      <w:sz w:val="20"/>
      <w:szCs w:val="20"/>
    </w:rPr>
  </w:style>
  <w:style w:type="table" w:styleId="PlainTable2">
    <w:name w:val="Plain Table 2"/>
    <w:basedOn w:val="TableNormal"/>
    <w:uiPriority w:val="42"/>
    <w:rsid w:val="00621BB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NoSpacing">
    <w:name w:val="No Spacing"/>
    <w:basedOn w:val="Normal"/>
    <w:link w:val="NoSpacingChar"/>
    <w:uiPriority w:val="1"/>
    <w:qFormat/>
    <w:rsid w:val="001957C6"/>
    <w:pPr>
      <w:spacing w:after="0" w:line="240" w:lineRule="auto"/>
    </w:pPr>
    <w:rPr>
      <w:rFonts w:ascii="Times New Roman" w:eastAsia="Times New Roman" w:hAnsi="Times New Roman" w:cs="Times New Roman"/>
      <w:color w:val="auto"/>
      <w:sz w:val="24"/>
      <w:szCs w:val="20"/>
      <w:lang w:bidi="en-US"/>
    </w:rPr>
  </w:style>
  <w:style w:type="character" w:customStyle="1" w:styleId="NoSpacingChar">
    <w:name w:val="No Spacing Char"/>
    <w:basedOn w:val="DefaultParagraphFont"/>
    <w:link w:val="NoSpacing"/>
    <w:uiPriority w:val="1"/>
    <w:rsid w:val="001957C6"/>
    <w:rPr>
      <w:rFonts w:ascii="Times New Roman" w:eastAsia="Times New Roman" w:hAnsi="Times New Roman" w:cs="Times New Roman"/>
      <w:color w:val="auto"/>
      <w:sz w:val="24"/>
      <w:szCs w:val="20"/>
      <w:lang w:bidi="en-US"/>
    </w:rPr>
  </w:style>
  <w:style w:type="paragraph" w:styleId="CommentSubject">
    <w:name w:val="annotation subject"/>
    <w:basedOn w:val="CommentText"/>
    <w:next w:val="CommentText"/>
    <w:link w:val="CommentSubjectChar"/>
    <w:uiPriority w:val="99"/>
    <w:semiHidden/>
    <w:unhideWhenUsed/>
    <w:locked/>
    <w:rsid w:val="00016C4F"/>
    <w:pPr>
      <w:spacing w:after="200"/>
    </w:pPr>
    <w:rPr>
      <w:rFonts w:ascii="Arial" w:hAnsi="Arial"/>
      <w:b/>
      <w:bCs/>
      <w:color w:val="000000" w:themeColor="text1"/>
    </w:rPr>
  </w:style>
  <w:style w:type="character" w:customStyle="1" w:styleId="CommentSubjectChar">
    <w:name w:val="Comment Subject Char"/>
    <w:basedOn w:val="CommentTextChar"/>
    <w:link w:val="CommentSubject"/>
    <w:uiPriority w:val="99"/>
    <w:semiHidden/>
    <w:rsid w:val="00016C4F"/>
    <w:rPr>
      <w:rFonts w:asciiTheme="minorHAnsi" w:hAnsiTheme="minorHAnsi"/>
      <w:b/>
      <w:bCs/>
      <w:color w:val="auto"/>
      <w:sz w:val="20"/>
      <w:szCs w:val="20"/>
    </w:rPr>
  </w:style>
  <w:style w:type="paragraph" w:styleId="Revision">
    <w:name w:val="Revision"/>
    <w:hidden/>
    <w:uiPriority w:val="99"/>
    <w:semiHidden/>
    <w:rsid w:val="00016C4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346464">
      <w:bodyDiv w:val="1"/>
      <w:marLeft w:val="0"/>
      <w:marRight w:val="0"/>
      <w:marTop w:val="0"/>
      <w:marBottom w:val="0"/>
      <w:divBdr>
        <w:top w:val="none" w:sz="0" w:space="0" w:color="auto"/>
        <w:left w:val="none" w:sz="0" w:space="0" w:color="auto"/>
        <w:bottom w:val="none" w:sz="0" w:space="0" w:color="auto"/>
        <w:right w:val="none" w:sz="0" w:space="0" w:color="auto"/>
      </w:divBdr>
    </w:div>
    <w:div w:id="1070662342">
      <w:bodyDiv w:val="1"/>
      <w:marLeft w:val="0"/>
      <w:marRight w:val="0"/>
      <w:marTop w:val="0"/>
      <w:marBottom w:val="0"/>
      <w:divBdr>
        <w:top w:val="none" w:sz="0" w:space="0" w:color="auto"/>
        <w:left w:val="none" w:sz="0" w:space="0" w:color="auto"/>
        <w:bottom w:val="none" w:sz="0" w:space="0" w:color="auto"/>
        <w:right w:val="none" w:sz="0" w:space="0" w:color="auto"/>
      </w:divBdr>
    </w:div>
    <w:div w:id="1505507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5.emf"/><Relationship Id="rId26" Type="http://schemas.openxmlformats.org/officeDocument/2006/relationships/image" Target="media/image12.png"/><Relationship Id="rId21" Type="http://schemas.openxmlformats.org/officeDocument/2006/relationships/image" Target="media/image8.emf"/><Relationship Id="rId34" Type="http://schemas.openxmlformats.org/officeDocument/2006/relationships/hyperlink" Target="https://doi.org/10.60965/ebfs-6630"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jpeg"/><Relationship Id="rId25" Type="http://schemas.openxmlformats.org/officeDocument/2006/relationships/hyperlink" Target="https://electra.cigre.org/321-april-2022/technology-e2e/next-generation-offshore-grid-connection-systems-tennets-2-gw-standard.html" TargetMode="External"/><Relationship Id="rId33" Type="http://schemas.openxmlformats.org/officeDocument/2006/relationships/image" Target="media/image18.jpe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g"/><Relationship Id="rId29"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emf"/><Relationship Id="rId32" Type="http://schemas.openxmlformats.org/officeDocument/2006/relationships/image" Target="media/image17.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emf"/><Relationship Id="rId23" Type="http://schemas.openxmlformats.org/officeDocument/2006/relationships/image" Target="media/image10.emf"/><Relationship Id="rId28" Type="http://schemas.openxmlformats.org/officeDocument/2006/relationships/image" Target="media/image13.png"/><Relationship Id="rId36"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6.emf"/><Relationship Id="rId31" Type="http://schemas.openxmlformats.org/officeDocument/2006/relationships/image" Target="media/image16.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emf"/><Relationship Id="rId22" Type="http://schemas.openxmlformats.org/officeDocument/2006/relationships/image" Target="media/image9.emf"/><Relationship Id="rId27" Type="http://schemas.microsoft.com/office/2007/relationships/hdphoto" Target="media/hdphoto1.wdp"/><Relationship Id="rId30" Type="http://schemas.openxmlformats.org/officeDocument/2006/relationships/image" Target="media/image15.png"/><Relationship Id="rId35" Type="http://schemas.openxmlformats.org/officeDocument/2006/relationships/header" Target="header4.xml"/><Relationship Id="rId8" Type="http://schemas.openxmlformats.org/officeDocument/2006/relationships/header" Target="header1.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170893C5-98B8-45A7-84AB-5642C77359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36</Pages>
  <Words>8791</Words>
  <Characters>50114</Characters>
  <Application>Microsoft Office Word</Application>
  <DocSecurity>0</DocSecurity>
  <Lines>417</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Hines, Eric M</dc:creator>
  <cp:lastModifiedBy>Hines, Eric M</cp:lastModifiedBy>
  <cp:revision>6</cp:revision>
  <dcterms:created xsi:type="dcterms:W3CDTF">2024-02-15T18:52:00Z</dcterms:created>
  <dcterms:modified xsi:type="dcterms:W3CDTF">2024-02-15T19:01:00Z</dcterms:modified>
</cp:coreProperties>
</file>